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6ADF7" w14:textId="08644233" w:rsidR="00902636" w:rsidRPr="00E13A0E" w:rsidRDefault="00D64E20" w:rsidP="00E13A0E">
      <w:pPr>
        <w:rPr>
          <w:rFonts w:ascii="TitilliumText22L Rg" w:hAnsi="TitilliumText22L Rg"/>
          <w:sz w:val="32"/>
          <w:szCs w:val="32"/>
        </w:rPr>
      </w:pPr>
      <w:r w:rsidRPr="00E13A0E">
        <w:rPr>
          <w:color w:val="FFFFFF" w:themeColor="background1"/>
          <w:sz w:val="32"/>
          <w:highlight w:val="red"/>
        </w:rPr>
        <w:t xml:space="preserve"> </w:t>
      </w:r>
      <w:r w:rsidR="002658B6" w:rsidRPr="00E13A0E">
        <w:rPr>
          <w:rFonts w:ascii="TitilliumText22L Rg" w:hAnsi="TitilliumText22L Rg"/>
          <w:color w:val="FFFFFF" w:themeColor="background1"/>
          <w:sz w:val="32"/>
          <w:szCs w:val="32"/>
          <w:highlight w:val="red"/>
        </w:rPr>
        <w:t xml:space="preserve">INFORMATIONSPFLICHTEN FÜR </w:t>
      </w:r>
      <w:r w:rsidR="00C60761">
        <w:rPr>
          <w:rFonts w:ascii="TitilliumText22L Rg" w:hAnsi="TitilliumText22L Rg"/>
          <w:color w:val="FFFFFF" w:themeColor="background1"/>
          <w:sz w:val="32"/>
          <w:szCs w:val="32"/>
          <w:highlight w:val="red"/>
        </w:rPr>
        <w:t>GESCHÄFTSPARTNER</w:t>
      </w:r>
      <w:r w:rsidR="00FC71DE" w:rsidRPr="00E13A0E">
        <w:rPr>
          <w:rFonts w:ascii="TitilliumText22L Rg" w:hAnsi="TitilliumText22L Rg"/>
          <w:color w:val="FF0000"/>
          <w:sz w:val="32"/>
          <w:szCs w:val="32"/>
          <w:highlight w:val="red"/>
        </w:rPr>
        <w:t>.</w:t>
      </w:r>
      <w:r w:rsidR="00FC71DE" w:rsidRPr="00E13A0E">
        <w:rPr>
          <w:rFonts w:ascii="TitilliumText22L Rg" w:hAnsi="TitilliumText22L Rg"/>
          <w:sz w:val="32"/>
          <w:szCs w:val="32"/>
          <w:highlight w:val="red"/>
        </w:rPr>
        <w:t xml:space="preserve"> </w:t>
      </w:r>
    </w:p>
    <w:p w14:paraId="62CB9D15" w14:textId="77777777" w:rsidR="00C60761" w:rsidRDefault="00C60761" w:rsidP="00D64E20">
      <w:pPr>
        <w:spacing w:after="0" w:line="240" w:lineRule="auto"/>
      </w:pPr>
    </w:p>
    <w:sdt>
      <w:sdtPr>
        <w:rPr>
          <w:rFonts w:ascii="Arial" w:eastAsiaTheme="minorHAnsi" w:hAnsi="Arial" w:cstheme="minorBidi"/>
          <w:color w:val="auto"/>
          <w:sz w:val="22"/>
          <w:szCs w:val="22"/>
          <w:lang w:eastAsia="en-US"/>
        </w:rPr>
        <w:id w:val="1594736151"/>
        <w:docPartObj>
          <w:docPartGallery w:val="Table of Contents"/>
          <w:docPartUnique/>
        </w:docPartObj>
      </w:sdtPr>
      <w:sdtEndPr>
        <w:rPr>
          <w:b/>
          <w:bCs/>
        </w:rPr>
      </w:sdtEndPr>
      <w:sdtContent>
        <w:p w14:paraId="3D0DB780" w14:textId="702040A3" w:rsidR="002C4746" w:rsidRPr="00E13A0E" w:rsidRDefault="00E13A0E" w:rsidP="00E13A0E">
          <w:pPr>
            <w:pStyle w:val="Inhaltsverzeichnisberschrift"/>
            <w:spacing w:before="0"/>
            <w:rPr>
              <w:rFonts w:ascii="TitilliumText22L Rg" w:hAnsi="TitilliumText22L Rg"/>
              <w:b/>
              <w:color w:val="auto"/>
            </w:rPr>
          </w:pPr>
          <w:r w:rsidRPr="00E13A0E">
            <w:rPr>
              <w:rFonts w:ascii="TitilliumText22L Rg" w:hAnsi="TitilliumText22L Rg"/>
              <w:b/>
              <w:color w:val="auto"/>
            </w:rPr>
            <w:t>INHALT</w:t>
          </w:r>
        </w:p>
        <w:p w14:paraId="205C99DD" w14:textId="77777777" w:rsidR="00E13A0E" w:rsidRPr="00E13A0E" w:rsidRDefault="00E13A0E" w:rsidP="00E13A0E">
          <w:pPr>
            <w:spacing w:after="0"/>
            <w:rPr>
              <w:lang w:eastAsia="de-DE"/>
            </w:rPr>
          </w:pPr>
        </w:p>
        <w:p w14:paraId="0E42D788" w14:textId="2EE9DCB5" w:rsidR="00E13A0E" w:rsidRPr="00E13A0E" w:rsidRDefault="002C4746" w:rsidP="00E13A0E">
          <w:pPr>
            <w:pStyle w:val="Verzeichnis2"/>
            <w:rPr>
              <w:rFonts w:ascii="TitilliumText22L Lt" w:eastAsiaTheme="minorEastAsia" w:hAnsi="TitilliumText22L Lt"/>
              <w:b/>
              <w:noProof/>
              <w:lang w:eastAsia="de-DE"/>
            </w:rPr>
          </w:pPr>
          <w:r>
            <w:fldChar w:fldCharType="begin"/>
          </w:r>
          <w:r>
            <w:instrText xml:space="preserve"> TOC \o "1-3" \h \z \u </w:instrText>
          </w:r>
          <w:r>
            <w:fldChar w:fldCharType="separate"/>
          </w:r>
          <w:hyperlink w:anchor="_Toc196387165" w:history="1">
            <w:r w:rsidR="00E13A0E" w:rsidRPr="00E13A0E">
              <w:rPr>
                <w:rStyle w:val="Hyperlink"/>
                <w:rFonts w:ascii="TitilliumText22L Lt" w:hAnsi="TitilliumText22L Lt"/>
                <w:b/>
                <w:noProof/>
              </w:rPr>
              <w:t>1.</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Namen und Kontaktdaten des Verantwortlichen</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_Toc196387165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1</w:t>
            </w:r>
            <w:r w:rsidR="00E13A0E" w:rsidRPr="00E13A0E">
              <w:rPr>
                <w:rFonts w:ascii="TitilliumText22L Lt" w:hAnsi="TitilliumText22L Lt"/>
                <w:b/>
                <w:noProof/>
                <w:webHidden/>
              </w:rPr>
              <w:fldChar w:fldCharType="end"/>
            </w:r>
          </w:hyperlink>
        </w:p>
        <w:p w14:paraId="355343BD" w14:textId="6F23A29B" w:rsidR="00E13A0E" w:rsidRPr="00E13A0E" w:rsidRDefault="00334F96" w:rsidP="00E13A0E">
          <w:pPr>
            <w:pStyle w:val="Verzeichnis2"/>
            <w:rPr>
              <w:rFonts w:ascii="TitilliumText22L Lt" w:eastAsiaTheme="minorEastAsia" w:hAnsi="TitilliumText22L Lt"/>
              <w:b/>
              <w:noProof/>
              <w:lang w:eastAsia="de-DE"/>
            </w:rPr>
          </w:pPr>
          <w:hyperlink w:anchor="_Toc196387166" w:history="1">
            <w:r w:rsidR="00E13A0E" w:rsidRPr="00E13A0E">
              <w:rPr>
                <w:rStyle w:val="Hyperlink"/>
                <w:rFonts w:ascii="TitilliumText22L Lt" w:hAnsi="TitilliumText22L Lt"/>
                <w:b/>
                <w:noProof/>
              </w:rPr>
              <w:t>2.</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Kontaktdaten des Datenschutzbeauftragten</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_Toc196387166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1</w:t>
            </w:r>
            <w:r w:rsidR="00E13A0E" w:rsidRPr="00E13A0E">
              <w:rPr>
                <w:rFonts w:ascii="TitilliumText22L Lt" w:hAnsi="TitilliumText22L Lt"/>
                <w:b/>
                <w:noProof/>
                <w:webHidden/>
              </w:rPr>
              <w:fldChar w:fldCharType="end"/>
            </w:r>
          </w:hyperlink>
        </w:p>
        <w:p w14:paraId="565A8080" w14:textId="43A8634F" w:rsidR="00E13A0E" w:rsidRPr="00E13A0E" w:rsidRDefault="00334F96" w:rsidP="00E13A0E">
          <w:pPr>
            <w:pStyle w:val="Verzeichnis2"/>
            <w:rPr>
              <w:rFonts w:ascii="TitilliumText22L Lt" w:eastAsiaTheme="minorEastAsia" w:hAnsi="TitilliumText22L Lt"/>
              <w:b/>
              <w:noProof/>
              <w:lang w:eastAsia="de-DE"/>
            </w:rPr>
          </w:pPr>
          <w:hyperlink w:anchor="_Toc196387167" w:history="1">
            <w:r w:rsidR="00E13A0E" w:rsidRPr="00E13A0E">
              <w:rPr>
                <w:rStyle w:val="Hyperlink"/>
                <w:rFonts w:ascii="TitilliumText22L Lt" w:hAnsi="TitilliumText22L Lt"/>
                <w:b/>
                <w:noProof/>
              </w:rPr>
              <w:t>3.</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 xml:space="preserve">Zwecke, für die die personenbezogenen Daten verarbeitet werden sowie die </w:t>
            </w:r>
            <w:r w:rsidR="00E13A0E">
              <w:rPr>
                <w:rStyle w:val="Hyperlink"/>
                <w:rFonts w:ascii="TitilliumText22L Lt" w:hAnsi="TitilliumText22L Lt"/>
                <w:b/>
                <w:noProof/>
              </w:rPr>
              <w:tab/>
            </w:r>
            <w:r w:rsidR="00E13A0E" w:rsidRPr="00E13A0E">
              <w:rPr>
                <w:rStyle w:val="Hyperlink"/>
                <w:rFonts w:ascii="TitilliumText22L Lt" w:hAnsi="TitilliumText22L Lt"/>
                <w:b/>
                <w:noProof/>
              </w:rPr>
              <w:t>Rechtsgrundlagen für die Verarbeitung</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_Toc196387167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1</w:t>
            </w:r>
            <w:r w:rsidR="00E13A0E" w:rsidRPr="00E13A0E">
              <w:rPr>
                <w:rFonts w:ascii="TitilliumText22L Lt" w:hAnsi="TitilliumText22L Lt"/>
                <w:b/>
                <w:noProof/>
                <w:webHidden/>
              </w:rPr>
              <w:fldChar w:fldCharType="end"/>
            </w:r>
          </w:hyperlink>
        </w:p>
        <w:p w14:paraId="69009C58" w14:textId="68C2DF1B" w:rsidR="00E13A0E" w:rsidRPr="00E13A0E" w:rsidRDefault="00334F96" w:rsidP="00E13A0E">
          <w:pPr>
            <w:pStyle w:val="Verzeichnis2"/>
            <w:rPr>
              <w:rFonts w:ascii="TitilliumText22L Lt" w:eastAsiaTheme="minorEastAsia" w:hAnsi="TitilliumText22L Lt"/>
              <w:b/>
              <w:noProof/>
              <w:lang w:eastAsia="de-DE"/>
            </w:rPr>
          </w:pPr>
          <w:hyperlink w:anchor="_Toc196387168" w:history="1">
            <w:r w:rsidR="00E13A0E" w:rsidRPr="00E13A0E">
              <w:rPr>
                <w:rStyle w:val="Hyperlink"/>
                <w:rFonts w:ascii="TitilliumText22L Lt" w:hAnsi="TitilliumText22L Lt"/>
                <w:b/>
                <w:noProof/>
              </w:rPr>
              <w:t>4.</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Quellen und Kategorien der verarbeiteten personenbezogenen Daten</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_Toc196387168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2</w:t>
            </w:r>
            <w:r w:rsidR="00E13A0E" w:rsidRPr="00E13A0E">
              <w:rPr>
                <w:rFonts w:ascii="TitilliumText22L Lt" w:hAnsi="TitilliumText22L Lt"/>
                <w:b/>
                <w:noProof/>
                <w:webHidden/>
              </w:rPr>
              <w:fldChar w:fldCharType="end"/>
            </w:r>
          </w:hyperlink>
        </w:p>
        <w:p w14:paraId="577AC0BF" w14:textId="77D32175" w:rsidR="00E13A0E" w:rsidRPr="00E13A0E" w:rsidRDefault="00334F96" w:rsidP="00E13A0E">
          <w:pPr>
            <w:pStyle w:val="Verzeichnis2"/>
            <w:rPr>
              <w:rFonts w:ascii="TitilliumText22L Lt" w:eastAsiaTheme="minorEastAsia" w:hAnsi="TitilliumText22L Lt"/>
              <w:b/>
              <w:noProof/>
              <w:lang w:eastAsia="de-DE"/>
            </w:rPr>
          </w:pPr>
          <w:hyperlink w:anchor="_Toc196387169" w:history="1">
            <w:r w:rsidR="00E13A0E" w:rsidRPr="00E13A0E">
              <w:rPr>
                <w:rStyle w:val="Hyperlink"/>
                <w:rFonts w:ascii="TitilliumText22L Lt" w:hAnsi="TitilliumText22L Lt"/>
                <w:b/>
                <w:noProof/>
              </w:rPr>
              <w:t>5.</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Empfänger oder Kategorien von Empfängern der personenbezogenen Daten</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_Toc196387169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2</w:t>
            </w:r>
            <w:r w:rsidR="00E13A0E" w:rsidRPr="00E13A0E">
              <w:rPr>
                <w:rFonts w:ascii="TitilliumText22L Lt" w:hAnsi="TitilliumText22L Lt"/>
                <w:b/>
                <w:noProof/>
                <w:webHidden/>
              </w:rPr>
              <w:fldChar w:fldCharType="end"/>
            </w:r>
          </w:hyperlink>
        </w:p>
        <w:p w14:paraId="1B4144FE" w14:textId="10D35F9B" w:rsidR="00E13A0E" w:rsidRPr="00E13A0E" w:rsidRDefault="00334F96" w:rsidP="00E13A0E">
          <w:pPr>
            <w:pStyle w:val="Verzeichnis2"/>
            <w:rPr>
              <w:rFonts w:ascii="TitilliumText22L Lt" w:eastAsiaTheme="minorEastAsia" w:hAnsi="TitilliumText22L Lt"/>
              <w:b/>
              <w:noProof/>
              <w:lang w:eastAsia="de-DE"/>
            </w:rPr>
          </w:pPr>
          <w:hyperlink w:anchor="_Toc196387170" w:history="1">
            <w:r w:rsidR="00E13A0E" w:rsidRPr="00E13A0E">
              <w:rPr>
                <w:rStyle w:val="Hyperlink"/>
                <w:rFonts w:ascii="TitilliumText22L Lt" w:hAnsi="TitilliumText22L Lt"/>
                <w:b/>
                <w:noProof/>
              </w:rPr>
              <w:t>6.</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 xml:space="preserve">Übermittlung an ein Drittland (außerhalb EU / EWR) oder an eine internationale </w:t>
            </w:r>
            <w:r w:rsidR="00E13A0E">
              <w:rPr>
                <w:rStyle w:val="Hyperlink"/>
                <w:rFonts w:ascii="TitilliumText22L Lt" w:hAnsi="TitilliumText22L Lt"/>
                <w:b/>
                <w:noProof/>
              </w:rPr>
              <w:tab/>
            </w:r>
            <w:r w:rsidR="00E13A0E" w:rsidRPr="00E13A0E">
              <w:rPr>
                <w:rStyle w:val="Hyperlink"/>
                <w:rFonts w:ascii="TitilliumText22L Lt" w:hAnsi="TitilliumText22L Lt"/>
                <w:b/>
                <w:noProof/>
              </w:rPr>
              <w:t>Organisation</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_Toc196387170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3</w:t>
            </w:r>
            <w:r w:rsidR="00E13A0E" w:rsidRPr="00E13A0E">
              <w:rPr>
                <w:rFonts w:ascii="TitilliumText22L Lt" w:hAnsi="TitilliumText22L Lt"/>
                <w:b/>
                <w:noProof/>
                <w:webHidden/>
              </w:rPr>
              <w:fldChar w:fldCharType="end"/>
            </w:r>
          </w:hyperlink>
        </w:p>
        <w:p w14:paraId="32008370" w14:textId="6FD22873" w:rsidR="00E13A0E" w:rsidRPr="00E13A0E" w:rsidRDefault="00334F96" w:rsidP="00E13A0E">
          <w:pPr>
            <w:pStyle w:val="Verzeichnis2"/>
            <w:rPr>
              <w:rFonts w:ascii="TitilliumText22L Lt" w:eastAsiaTheme="minorEastAsia" w:hAnsi="TitilliumText22L Lt"/>
              <w:b/>
              <w:noProof/>
              <w:lang w:eastAsia="de-DE"/>
            </w:rPr>
          </w:pPr>
          <w:hyperlink w:anchor="_Toc196387171" w:history="1">
            <w:r w:rsidR="00E13A0E" w:rsidRPr="00E13A0E">
              <w:rPr>
                <w:rStyle w:val="Hyperlink"/>
                <w:rFonts w:ascii="TitilliumText22L Lt" w:hAnsi="TitilliumText22L Lt"/>
                <w:b/>
                <w:noProof/>
              </w:rPr>
              <w:t>7.</w:t>
            </w:r>
            <w:r w:rsidR="00E13A0E" w:rsidRPr="00E13A0E">
              <w:rPr>
                <w:rFonts w:ascii="TitilliumText22L Lt" w:eastAsiaTheme="minorEastAsia" w:hAnsi="TitilliumText22L Lt"/>
                <w:b/>
                <w:noProof/>
                <w:lang w:eastAsia="de-DE"/>
              </w:rPr>
              <w:tab/>
            </w:r>
            <w:r w:rsidR="00E13A0E" w:rsidRPr="00E13A0E">
              <w:rPr>
                <w:rStyle w:val="Hyperlink"/>
                <w:rFonts w:ascii="TitilliumText22L Lt" w:hAnsi="TitilliumText22L Lt"/>
                <w:b/>
                <w:noProof/>
              </w:rPr>
              <w:t xml:space="preserve">Dauer, für die die personenbezogenen Daten gespeichert werden und die Kriterien für </w:t>
            </w:r>
            <w:r w:rsidR="00E13A0E">
              <w:rPr>
                <w:rStyle w:val="Hyperlink"/>
                <w:rFonts w:ascii="TitilliumText22L Lt" w:hAnsi="TitilliumText22L Lt"/>
                <w:b/>
                <w:noProof/>
              </w:rPr>
              <w:tab/>
            </w:r>
            <w:r w:rsidR="00E13A0E" w:rsidRPr="00E13A0E">
              <w:rPr>
                <w:rStyle w:val="Hyperlink"/>
                <w:rFonts w:ascii="TitilliumText22L Lt" w:hAnsi="TitilliumText22L Lt"/>
                <w:b/>
                <w:noProof/>
              </w:rPr>
              <w:t>die Festlegung dieser Dauer</w:t>
            </w:r>
            <w:r w:rsidR="00E13A0E" w:rsidRPr="00E13A0E">
              <w:rPr>
                <w:rFonts w:ascii="TitilliumText22L Lt" w:hAnsi="TitilliumText22L Lt"/>
                <w:b/>
                <w:noProof/>
                <w:webHidden/>
              </w:rPr>
              <w:tab/>
            </w:r>
            <w:r w:rsidR="00E13A0E" w:rsidRPr="00E13A0E">
              <w:rPr>
                <w:rFonts w:ascii="TitilliumText22L Lt" w:hAnsi="TitilliumText22L Lt"/>
                <w:b/>
                <w:noProof/>
                <w:webHidden/>
              </w:rPr>
              <w:fldChar w:fldCharType="begin"/>
            </w:r>
            <w:r w:rsidR="00E13A0E" w:rsidRPr="00E13A0E">
              <w:rPr>
                <w:rFonts w:ascii="TitilliumText22L Lt" w:hAnsi="TitilliumText22L Lt"/>
                <w:b/>
                <w:noProof/>
                <w:webHidden/>
              </w:rPr>
              <w:instrText xml:space="preserve"> PAGEREF _Toc196387171 \h </w:instrText>
            </w:r>
            <w:r w:rsidR="00E13A0E" w:rsidRPr="00E13A0E">
              <w:rPr>
                <w:rFonts w:ascii="TitilliumText22L Lt" w:hAnsi="TitilliumText22L Lt"/>
                <w:b/>
                <w:noProof/>
                <w:webHidden/>
              </w:rPr>
            </w:r>
            <w:r w:rsidR="00E13A0E" w:rsidRPr="00E13A0E">
              <w:rPr>
                <w:rFonts w:ascii="TitilliumText22L Lt" w:hAnsi="TitilliumText22L Lt"/>
                <w:b/>
                <w:noProof/>
                <w:webHidden/>
              </w:rPr>
              <w:fldChar w:fldCharType="separate"/>
            </w:r>
            <w:r w:rsidR="001D7245">
              <w:rPr>
                <w:rFonts w:ascii="TitilliumText22L Lt" w:hAnsi="TitilliumText22L Lt"/>
                <w:b/>
                <w:noProof/>
                <w:webHidden/>
              </w:rPr>
              <w:t>3</w:t>
            </w:r>
            <w:r w:rsidR="00E13A0E" w:rsidRPr="00E13A0E">
              <w:rPr>
                <w:rFonts w:ascii="TitilliumText22L Lt" w:hAnsi="TitilliumText22L Lt"/>
                <w:b/>
                <w:noProof/>
                <w:webHidden/>
              </w:rPr>
              <w:fldChar w:fldCharType="end"/>
            </w:r>
          </w:hyperlink>
        </w:p>
        <w:p w14:paraId="524577CD" w14:textId="45A2B692" w:rsidR="002C4746" w:rsidRDefault="002C4746" w:rsidP="00E13A0E">
          <w:pPr>
            <w:spacing w:after="0"/>
          </w:pPr>
          <w:r>
            <w:rPr>
              <w:b/>
              <w:bCs/>
            </w:rPr>
            <w:fldChar w:fldCharType="end"/>
          </w:r>
        </w:p>
      </w:sdtContent>
    </w:sdt>
    <w:p w14:paraId="49B14B25" w14:textId="77777777" w:rsidR="002658B6" w:rsidRDefault="002658B6" w:rsidP="002658B6">
      <w:pPr>
        <w:spacing w:after="0" w:line="288" w:lineRule="auto"/>
        <w:rPr>
          <w:rFonts w:ascii="TitilliumText22L Lt" w:hAnsi="TitilliumText22L Lt"/>
        </w:rPr>
      </w:pPr>
    </w:p>
    <w:p w14:paraId="0C421EDC" w14:textId="4051DA9E" w:rsidR="002658B6" w:rsidRDefault="00C60761" w:rsidP="00C60761">
      <w:pPr>
        <w:spacing w:after="0" w:line="240" w:lineRule="auto"/>
        <w:jc w:val="both"/>
        <w:rPr>
          <w:rFonts w:ascii="TitilliumText22L Lt" w:hAnsi="TitilliumText22L Lt"/>
        </w:rPr>
      </w:pPr>
      <w:r w:rsidRPr="00C60761">
        <w:rPr>
          <w:rFonts w:ascii="TitilliumText22L Lt" w:hAnsi="TitilliumText22L Lt"/>
        </w:rPr>
        <w:t>Nachfolgend informieren wir Sie gemäß Art. 13, 14 der EU Datenschutz-Grundverordnung (EU DS-GVO) über die Verarbeitung Ihrer personenbezogenen Daten durch uns sowie über Ihre Rechte aus dem Datenschutzrecht.</w:t>
      </w:r>
    </w:p>
    <w:p w14:paraId="41E206A8" w14:textId="32718DB7" w:rsidR="002658B6" w:rsidRDefault="002658B6" w:rsidP="002658B6">
      <w:pPr>
        <w:spacing w:after="0" w:line="288" w:lineRule="auto"/>
        <w:jc w:val="both"/>
        <w:rPr>
          <w:rFonts w:ascii="TitilliumText22L Lt" w:hAnsi="TitilliumText22L Lt"/>
        </w:rPr>
      </w:pPr>
    </w:p>
    <w:p w14:paraId="30AC1A3E" w14:textId="19F710C8" w:rsidR="002658B6" w:rsidRPr="002658B6" w:rsidRDefault="002658B6" w:rsidP="002658B6">
      <w:pPr>
        <w:pStyle w:val="berschrift2"/>
        <w:numPr>
          <w:ilvl w:val="0"/>
          <w:numId w:val="19"/>
        </w:numPr>
      </w:pPr>
      <w:bookmarkStart w:id="0" w:name="_Toc196387165"/>
      <w:r w:rsidRPr="002658B6">
        <w:t>Namen und Kontaktdaten des Verantwortlichen</w:t>
      </w:r>
      <w:bookmarkEnd w:id="0"/>
    </w:p>
    <w:p w14:paraId="55777864" w14:textId="77777777" w:rsidR="002658B6" w:rsidRPr="002658B6" w:rsidRDefault="002658B6" w:rsidP="002658B6">
      <w:pPr>
        <w:spacing w:after="0" w:line="288" w:lineRule="auto"/>
        <w:jc w:val="both"/>
        <w:rPr>
          <w:rFonts w:ascii="TitilliumText22L Lt" w:hAnsi="TitilliumText22L Lt"/>
          <w:b/>
        </w:rPr>
      </w:pPr>
    </w:p>
    <w:p w14:paraId="6352732F" w14:textId="77777777" w:rsidR="002658B6" w:rsidRPr="002658B6" w:rsidRDefault="002658B6" w:rsidP="002658B6">
      <w:pPr>
        <w:spacing w:after="0" w:line="288" w:lineRule="auto"/>
        <w:rPr>
          <w:rFonts w:ascii="TitilliumText22L Lt" w:hAnsi="TitilliumText22L Lt"/>
          <w:bCs/>
        </w:rPr>
      </w:pPr>
      <w:bookmarkStart w:id="1" w:name="_Hlk183408395"/>
      <w:r w:rsidRPr="002658B6">
        <w:rPr>
          <w:rFonts w:ascii="TitilliumText22L Lt" w:hAnsi="TitilliumText22L Lt"/>
          <w:bCs/>
        </w:rPr>
        <w:t>Lichtgitter GmbH, Siemensstraße 1, 48703 Stadtlohn</w:t>
      </w:r>
    </w:p>
    <w:p w14:paraId="6D19D0A0" w14:textId="77777777" w:rsidR="002658B6" w:rsidRPr="002658B6" w:rsidRDefault="002658B6" w:rsidP="002658B6">
      <w:pPr>
        <w:spacing w:after="0" w:line="288" w:lineRule="auto"/>
        <w:rPr>
          <w:rFonts w:ascii="TitilliumText22L Lt" w:hAnsi="TitilliumText22L Lt"/>
          <w:bCs/>
        </w:rPr>
      </w:pPr>
      <w:r w:rsidRPr="002658B6">
        <w:rPr>
          <w:rFonts w:ascii="TitilliumText22L Lt" w:hAnsi="TitilliumText22L Lt"/>
          <w:bCs/>
        </w:rPr>
        <w:t>Telefon: 02563 / 911-0</w:t>
      </w:r>
    </w:p>
    <w:p w14:paraId="12658250" w14:textId="08195654" w:rsidR="002658B6" w:rsidRDefault="002658B6" w:rsidP="002658B6">
      <w:pPr>
        <w:spacing w:after="0" w:line="288" w:lineRule="auto"/>
        <w:rPr>
          <w:rFonts w:ascii="TitilliumText22L Lt" w:hAnsi="TitilliumText22L Lt"/>
        </w:rPr>
      </w:pPr>
      <w:r>
        <w:rPr>
          <w:rFonts w:ascii="TitilliumText22L Lt" w:hAnsi="TitilliumText22L Lt"/>
          <w:bCs/>
        </w:rPr>
        <w:t xml:space="preserve">E-Mail </w:t>
      </w:r>
      <w:r w:rsidRPr="002658B6">
        <w:rPr>
          <w:rFonts w:ascii="TitilliumText22L Lt" w:hAnsi="TitilliumText22L Lt"/>
          <w:bCs/>
        </w:rPr>
        <w:t>:</w:t>
      </w:r>
      <w:r>
        <w:rPr>
          <w:rFonts w:ascii="TitilliumText22L Lt" w:hAnsi="TitilliumText22L Lt"/>
          <w:bCs/>
        </w:rPr>
        <w:t xml:space="preserve"> </w:t>
      </w:r>
      <w:r w:rsidRPr="002658B6">
        <w:rPr>
          <w:rFonts w:ascii="TitilliumText22L Lt" w:hAnsi="TitilliumText22L Lt"/>
          <w:bCs/>
        </w:rPr>
        <w:t>info@lichtgitter.com</w:t>
      </w:r>
      <w:bookmarkEnd w:id="1"/>
      <w:r w:rsidRPr="002658B6">
        <w:rPr>
          <w:rFonts w:ascii="TitilliumText22L Lt" w:hAnsi="TitilliumText22L Lt"/>
        </w:rPr>
        <w:br/>
      </w:r>
    </w:p>
    <w:p w14:paraId="4F1185E5" w14:textId="77777777" w:rsidR="002658B6" w:rsidRPr="002658B6" w:rsidRDefault="002658B6" w:rsidP="002658B6">
      <w:pPr>
        <w:spacing w:after="0" w:line="288" w:lineRule="auto"/>
        <w:rPr>
          <w:rFonts w:ascii="TitilliumText22L Lt" w:hAnsi="TitilliumText22L Lt"/>
        </w:rPr>
      </w:pPr>
    </w:p>
    <w:p w14:paraId="5B44F806" w14:textId="04FABACB" w:rsidR="002658B6" w:rsidRPr="002658B6" w:rsidRDefault="002658B6" w:rsidP="002658B6">
      <w:pPr>
        <w:pStyle w:val="berschrift2"/>
        <w:numPr>
          <w:ilvl w:val="0"/>
          <w:numId w:val="19"/>
        </w:numPr>
      </w:pPr>
      <w:bookmarkStart w:id="2" w:name="_Toc196387166"/>
      <w:r w:rsidRPr="002658B6">
        <w:t>Kontaktdaten des Datenschutzbeauftragten</w:t>
      </w:r>
      <w:bookmarkEnd w:id="2"/>
    </w:p>
    <w:p w14:paraId="7FEBEA86" w14:textId="77777777" w:rsidR="002658B6" w:rsidRPr="002658B6" w:rsidRDefault="002658B6" w:rsidP="002658B6">
      <w:pPr>
        <w:spacing w:after="0" w:line="288" w:lineRule="auto"/>
        <w:jc w:val="both"/>
        <w:rPr>
          <w:rFonts w:ascii="TitilliumText22L Lt" w:hAnsi="TitilliumText22L Lt"/>
          <w:b/>
        </w:rPr>
      </w:pPr>
    </w:p>
    <w:p w14:paraId="1891098C" w14:textId="77777777" w:rsidR="002658B6" w:rsidRPr="002658B6" w:rsidRDefault="002658B6" w:rsidP="002658B6">
      <w:pPr>
        <w:spacing w:after="0" w:line="288" w:lineRule="auto"/>
        <w:jc w:val="both"/>
        <w:rPr>
          <w:rFonts w:ascii="TitilliumText22L Lt" w:hAnsi="TitilliumText22L Lt"/>
          <w:bCs/>
        </w:rPr>
      </w:pPr>
      <w:bookmarkStart w:id="3" w:name="_Hlk183408416"/>
      <w:r w:rsidRPr="002658B6">
        <w:rPr>
          <w:rFonts w:ascii="TitilliumText22L Lt" w:hAnsi="TitilliumText22L Lt"/>
          <w:bCs/>
        </w:rPr>
        <w:t xml:space="preserve">DSB Münster GmbH, Martin-Luther-King-Weg 42-44, </w:t>
      </w:r>
      <w:bookmarkStart w:id="4" w:name="_Hlk183419264"/>
      <w:r w:rsidRPr="002658B6">
        <w:rPr>
          <w:rFonts w:ascii="TitilliumText22L Lt" w:hAnsi="TitilliumText22L Lt"/>
          <w:bCs/>
        </w:rPr>
        <w:t>48155 Münster</w:t>
      </w:r>
      <w:bookmarkEnd w:id="4"/>
      <w:r w:rsidRPr="002658B6">
        <w:rPr>
          <w:rFonts w:ascii="TitilliumText22L Lt" w:hAnsi="TitilliumText22L Lt"/>
          <w:bCs/>
        </w:rPr>
        <w:t xml:space="preserve"> </w:t>
      </w:r>
    </w:p>
    <w:p w14:paraId="0F2804DF" w14:textId="77777777" w:rsidR="002658B6" w:rsidRPr="002658B6" w:rsidRDefault="002658B6" w:rsidP="002658B6">
      <w:pPr>
        <w:spacing w:after="0" w:line="288" w:lineRule="auto"/>
        <w:jc w:val="both"/>
        <w:rPr>
          <w:rFonts w:ascii="TitilliumText22L Lt" w:hAnsi="TitilliumText22L Lt"/>
          <w:bCs/>
        </w:rPr>
      </w:pPr>
      <w:r w:rsidRPr="002658B6">
        <w:rPr>
          <w:rFonts w:ascii="TitilliumText22L Lt" w:hAnsi="TitilliumText22L Lt"/>
          <w:bCs/>
        </w:rPr>
        <w:t>Telefon: 0251 / 71879-110</w:t>
      </w:r>
    </w:p>
    <w:p w14:paraId="0D4F9DA8" w14:textId="77777777" w:rsidR="002658B6" w:rsidRPr="002658B6" w:rsidRDefault="002658B6" w:rsidP="002658B6">
      <w:pPr>
        <w:spacing w:after="0" w:line="288" w:lineRule="auto"/>
        <w:jc w:val="both"/>
        <w:rPr>
          <w:rFonts w:ascii="TitilliumText22L Lt" w:hAnsi="TitilliumText22L Lt"/>
          <w:bCs/>
        </w:rPr>
      </w:pPr>
      <w:r w:rsidRPr="002658B6">
        <w:rPr>
          <w:rFonts w:ascii="TitilliumText22L Lt" w:hAnsi="TitilliumText22L Lt"/>
          <w:bCs/>
        </w:rPr>
        <w:t>E-Mail: datenschutz@lichtgitter.com</w:t>
      </w:r>
    </w:p>
    <w:bookmarkEnd w:id="3"/>
    <w:p w14:paraId="425FE3D0" w14:textId="46351349" w:rsidR="002658B6" w:rsidRDefault="002658B6" w:rsidP="002658B6">
      <w:pPr>
        <w:spacing w:after="0" w:line="288" w:lineRule="auto"/>
        <w:jc w:val="both"/>
        <w:rPr>
          <w:rFonts w:ascii="TitilliumText22L Lt" w:hAnsi="TitilliumText22L Lt"/>
        </w:rPr>
      </w:pPr>
    </w:p>
    <w:p w14:paraId="7D31A07F" w14:textId="77777777" w:rsidR="002658B6" w:rsidRPr="002658B6" w:rsidRDefault="002658B6" w:rsidP="002658B6">
      <w:pPr>
        <w:spacing w:after="0" w:line="288" w:lineRule="auto"/>
        <w:jc w:val="both"/>
        <w:rPr>
          <w:rFonts w:ascii="TitilliumText22L Lt" w:hAnsi="TitilliumText22L Lt"/>
        </w:rPr>
      </w:pPr>
    </w:p>
    <w:p w14:paraId="73B37BB9" w14:textId="725BC5E5" w:rsidR="002658B6" w:rsidRPr="002658B6" w:rsidRDefault="002658B6" w:rsidP="002658B6">
      <w:pPr>
        <w:pStyle w:val="berschrift2"/>
        <w:numPr>
          <w:ilvl w:val="0"/>
          <w:numId w:val="19"/>
        </w:numPr>
      </w:pPr>
      <w:bookmarkStart w:id="5" w:name="_Toc196387167"/>
      <w:r w:rsidRPr="002658B6">
        <w:t>Zwecke, für die die personenbezogenen Daten verarbeitet werden sowie die Rechtsgrundlagen für die Verarbeitung</w:t>
      </w:r>
      <w:bookmarkEnd w:id="5"/>
    </w:p>
    <w:p w14:paraId="479E6E41" w14:textId="77777777" w:rsidR="002658B6" w:rsidRPr="002658B6" w:rsidRDefault="002658B6" w:rsidP="002658B6">
      <w:pPr>
        <w:spacing w:after="0" w:line="288" w:lineRule="auto"/>
        <w:jc w:val="both"/>
        <w:rPr>
          <w:rFonts w:ascii="TitilliumText22L Lt" w:hAnsi="TitilliumText22L Lt"/>
          <w:b/>
        </w:rPr>
      </w:pPr>
    </w:p>
    <w:p w14:paraId="11D66C6F" w14:textId="2C63824E" w:rsidR="002658B6" w:rsidRDefault="00C60761" w:rsidP="004F42E2">
      <w:pPr>
        <w:spacing w:after="0" w:line="288" w:lineRule="auto"/>
        <w:jc w:val="both"/>
        <w:rPr>
          <w:rFonts w:ascii="TitilliumText22L Lt" w:hAnsi="TitilliumText22L Lt"/>
        </w:rPr>
      </w:pPr>
      <w:r w:rsidRPr="00C60761">
        <w:rPr>
          <w:rFonts w:ascii="TitilliumText22L Lt" w:hAnsi="TitilliumText22L Lt"/>
        </w:rPr>
        <w:t>Wir verarbeiten personenbezogenen Daten, sofern diese für eine Vertragsbegründung,</w:t>
      </w:r>
      <w:r w:rsidRPr="00C60761">
        <w:rPr>
          <w:rFonts w:ascii="TitilliumText22L Lt" w:hAnsi="TitilliumText22L Lt"/>
        </w:rPr>
        <w:br/>
        <w:t xml:space="preserve">-durchführung, -erfüllung sowie zur Durchführung vorvertraglicher Maßnahmen erforderlich sind (Art. 6 Abs. 1 </w:t>
      </w:r>
      <w:proofErr w:type="spellStart"/>
      <w:r w:rsidRPr="00C60761">
        <w:rPr>
          <w:rFonts w:ascii="TitilliumText22L Lt" w:hAnsi="TitilliumText22L Lt"/>
        </w:rPr>
        <w:t>lit</w:t>
      </w:r>
      <w:proofErr w:type="spellEnd"/>
      <w:r w:rsidRPr="00C60761">
        <w:rPr>
          <w:rFonts w:ascii="TitilliumText22L Lt" w:hAnsi="TitilliumText22L Lt"/>
        </w:rPr>
        <w:t xml:space="preserve">. b DS-GVO, z.B. in Zusammenhang mit der Anbahnung, Ausführung und Verwaltung von Aufträgen), zur Erfüllung einer rechtlichen Verpflichtung (Art. 6 Abs. 1 </w:t>
      </w:r>
      <w:proofErr w:type="spellStart"/>
      <w:r w:rsidRPr="00C60761">
        <w:rPr>
          <w:rFonts w:ascii="TitilliumText22L Lt" w:hAnsi="TitilliumText22L Lt"/>
        </w:rPr>
        <w:t>lit</w:t>
      </w:r>
      <w:proofErr w:type="spellEnd"/>
      <w:r w:rsidRPr="00C60761">
        <w:rPr>
          <w:rFonts w:ascii="TitilliumText22L Lt" w:hAnsi="TitilliumText22L Lt"/>
        </w:rPr>
        <w:t xml:space="preserve">. c DS-GVO, z. B. Beachtung handels- und steuerrechtliche Aufbewahrungspflichten nach § 257 HGB </w:t>
      </w:r>
      <w:r w:rsidRPr="00C60761">
        <w:rPr>
          <w:rFonts w:ascii="TitilliumText22L Lt" w:hAnsi="TitilliumText22L Lt"/>
        </w:rPr>
        <w:lastRenderedPageBreak/>
        <w:t xml:space="preserve">und § 147 AO), zur Wahrung der berechtigten Interessen des Verantwortlichen oder eines Dritten (Art. 6 Abs. 1 </w:t>
      </w:r>
      <w:proofErr w:type="spellStart"/>
      <w:r w:rsidRPr="00C60761">
        <w:rPr>
          <w:rFonts w:ascii="TitilliumText22L Lt" w:hAnsi="TitilliumText22L Lt"/>
        </w:rPr>
        <w:t>lit</w:t>
      </w:r>
      <w:proofErr w:type="spellEnd"/>
      <w:r w:rsidRPr="00C60761">
        <w:rPr>
          <w:rFonts w:ascii="TitilliumText22L Lt" w:hAnsi="TitilliumText22L Lt"/>
        </w:rPr>
        <w:t xml:space="preserve">. f DS-GVO, z.B. Speicherung von Daten während einer für Akquisitionsbemühungen angemessenen Zeit oder zur Geltendmachung rechtlicher Ansprüche und Verteidigung bei rechtlichen Streitigkeiten) sowie auf der Grundlage von Einwilligungen der Betroffenen (Art. 6 Abs. 1 </w:t>
      </w:r>
      <w:proofErr w:type="spellStart"/>
      <w:r w:rsidRPr="00C60761">
        <w:rPr>
          <w:rFonts w:ascii="TitilliumText22L Lt" w:hAnsi="TitilliumText22L Lt"/>
        </w:rPr>
        <w:t>lit</w:t>
      </w:r>
      <w:proofErr w:type="spellEnd"/>
      <w:r w:rsidRPr="00C60761">
        <w:rPr>
          <w:rFonts w:ascii="TitilliumText22L Lt" w:hAnsi="TitilliumText22L Lt"/>
        </w:rPr>
        <w:t xml:space="preserve">. a DS-GVO, z.B. Weitergabe der Daten an verbundene Unternehmen oder Dritte, Auswertung für Marketingzwecke oder werbliche Ansprache per E-Mail). </w:t>
      </w:r>
    </w:p>
    <w:p w14:paraId="13D06117" w14:textId="77777777" w:rsidR="002658B6" w:rsidRPr="002658B6" w:rsidRDefault="002658B6" w:rsidP="002658B6">
      <w:pPr>
        <w:spacing w:after="0" w:line="288" w:lineRule="auto"/>
        <w:rPr>
          <w:rFonts w:ascii="TitilliumText22L Lt" w:hAnsi="TitilliumText22L Lt"/>
        </w:rPr>
      </w:pPr>
    </w:p>
    <w:p w14:paraId="695A2B1A" w14:textId="174B062D" w:rsidR="002658B6" w:rsidRPr="002658B6" w:rsidRDefault="002658B6" w:rsidP="002658B6">
      <w:pPr>
        <w:pStyle w:val="berschrift2"/>
        <w:numPr>
          <w:ilvl w:val="0"/>
          <w:numId w:val="19"/>
        </w:numPr>
      </w:pPr>
      <w:bookmarkStart w:id="6" w:name="_Toc196387168"/>
      <w:r w:rsidRPr="002658B6">
        <w:t>Quellen und Kategorien der verarbeiteten personenbezogenen Daten</w:t>
      </w:r>
      <w:bookmarkEnd w:id="6"/>
    </w:p>
    <w:p w14:paraId="43346B19" w14:textId="77777777" w:rsidR="002658B6" w:rsidRPr="002658B6" w:rsidRDefault="002658B6" w:rsidP="002658B6">
      <w:pPr>
        <w:spacing w:after="0" w:line="288" w:lineRule="auto"/>
        <w:rPr>
          <w:rFonts w:ascii="TitilliumText22L Lt" w:hAnsi="TitilliumText22L Lt"/>
        </w:rPr>
      </w:pPr>
    </w:p>
    <w:p w14:paraId="1CA2C9C2" w14:textId="353AC8B5" w:rsidR="00C60761" w:rsidRPr="00C60761" w:rsidRDefault="00C60761" w:rsidP="004F42E2">
      <w:pPr>
        <w:spacing w:after="0" w:line="288" w:lineRule="auto"/>
        <w:jc w:val="both"/>
        <w:rPr>
          <w:rFonts w:ascii="TitilliumText22L Lt" w:hAnsi="TitilliumText22L Lt"/>
        </w:rPr>
      </w:pPr>
      <w:r w:rsidRPr="00C60761">
        <w:rPr>
          <w:rFonts w:ascii="TitilliumText22L Lt" w:hAnsi="TitilliumText22L Lt"/>
        </w:rPr>
        <w:t>Wir verarbeiten personenbezogene Daten, die wir im Rahmen der Kontaktaufnahme und unserer Geschäftsbeziehung, z.B. für die Bearbeitung einer Anfrage oder eines Auftrags, von Ihnen oder aus öffentlichen Quellen wie z.B. Handelsr</w:t>
      </w:r>
      <w:r>
        <w:rPr>
          <w:rFonts w:ascii="TitilliumText22L Lt" w:hAnsi="TitilliumText22L Lt"/>
        </w:rPr>
        <w:t>egistern, Internet und Verzeich</w:t>
      </w:r>
      <w:r w:rsidRPr="00C60761">
        <w:rPr>
          <w:rFonts w:ascii="TitilliumText22L Lt" w:hAnsi="TitilliumText22L Lt"/>
        </w:rPr>
        <w:t>nissen oder von Dritten wie u.a. Kredit- bzw. Wirtschafts</w:t>
      </w:r>
      <w:r>
        <w:rPr>
          <w:rFonts w:ascii="TitilliumText22L Lt" w:hAnsi="TitilliumText22L Lt"/>
        </w:rPr>
        <w:t>auskunfteien oder Geschäftspart</w:t>
      </w:r>
      <w:r w:rsidRPr="00C60761">
        <w:rPr>
          <w:rFonts w:ascii="TitilliumText22L Lt" w:hAnsi="TitilliumText22L Lt"/>
        </w:rPr>
        <w:t xml:space="preserve">nern erhalten. </w:t>
      </w:r>
    </w:p>
    <w:p w14:paraId="2C22D0F3" w14:textId="77777777" w:rsidR="00C60761" w:rsidRPr="00C60761" w:rsidRDefault="00C60761" w:rsidP="004F42E2">
      <w:pPr>
        <w:spacing w:after="0" w:line="288" w:lineRule="auto"/>
        <w:jc w:val="both"/>
        <w:rPr>
          <w:rFonts w:ascii="TitilliumText22L Lt" w:hAnsi="TitilliumText22L Lt"/>
        </w:rPr>
      </w:pPr>
    </w:p>
    <w:p w14:paraId="320E347F" w14:textId="6C3C02CC" w:rsidR="002658B6" w:rsidRDefault="00C60761" w:rsidP="004F42E2">
      <w:pPr>
        <w:spacing w:after="0" w:line="288" w:lineRule="auto"/>
        <w:jc w:val="both"/>
        <w:rPr>
          <w:rFonts w:ascii="TitilliumText22L Lt" w:hAnsi="TitilliumText22L Lt"/>
        </w:rPr>
      </w:pPr>
      <w:r w:rsidRPr="00C60761">
        <w:rPr>
          <w:rFonts w:ascii="TitilliumText22L Lt" w:hAnsi="TitilliumText22L Lt"/>
        </w:rPr>
        <w:t>Relevante personenbezogene Daten sind insbesondere Personendaten (wie z.B. Name, Vorname, Anschrift, Bankverbindung, Rechnungsanschrift, Steuernummer bzw. Umsatzsteuer-ID-Nummer) und andere Kontaktdaten (wie z.B. Telefonnummer, E-Mailadresse). Darüber hinaus können dies auch Vertrags- oder Auftragsdat</w:t>
      </w:r>
      <w:r w:rsidR="00BD234B">
        <w:rPr>
          <w:rFonts w:ascii="TitilliumText22L Lt" w:hAnsi="TitilliumText22L Lt"/>
        </w:rPr>
        <w:t>en (z.B. Umsatzdaten, Be</w:t>
      </w:r>
      <w:r w:rsidRPr="00C60761">
        <w:rPr>
          <w:rFonts w:ascii="TitilliumText22L Lt" w:hAnsi="TitilliumText22L Lt"/>
        </w:rPr>
        <w:t>stellvolumen), Informationen über Ihre finanzielle Situation (z.B. Bonitätsdaten) sowie Daten zu Ihrer Person (z.B. Beruf, Position, Aufgaben und Befugnisse) und andere mit den genannten Kategorien vergleichbare Daten sein</w:t>
      </w:r>
    </w:p>
    <w:p w14:paraId="66D47AD0" w14:textId="77777777" w:rsidR="002658B6" w:rsidRPr="002658B6" w:rsidRDefault="002658B6" w:rsidP="002658B6">
      <w:pPr>
        <w:spacing w:after="0" w:line="288" w:lineRule="auto"/>
        <w:jc w:val="both"/>
        <w:rPr>
          <w:rFonts w:ascii="TitilliumText22L Lt" w:hAnsi="TitilliumText22L Lt"/>
        </w:rPr>
      </w:pPr>
    </w:p>
    <w:p w14:paraId="6600ADB2" w14:textId="4C8D8326" w:rsidR="002658B6" w:rsidRPr="002658B6" w:rsidRDefault="002658B6" w:rsidP="002658B6">
      <w:pPr>
        <w:pStyle w:val="berschrift2"/>
        <w:numPr>
          <w:ilvl w:val="0"/>
          <w:numId w:val="19"/>
        </w:numPr>
      </w:pPr>
      <w:bookmarkStart w:id="7" w:name="_Toc196387169"/>
      <w:r w:rsidRPr="002658B6">
        <w:t>Empfänger oder Kategorien von Empfängern der personenbezogenen Daten</w:t>
      </w:r>
      <w:bookmarkEnd w:id="7"/>
    </w:p>
    <w:p w14:paraId="43148365" w14:textId="77777777" w:rsidR="002658B6" w:rsidRPr="002658B6" w:rsidRDefault="002658B6" w:rsidP="002658B6">
      <w:pPr>
        <w:spacing w:after="0" w:line="288" w:lineRule="auto"/>
        <w:jc w:val="both"/>
        <w:rPr>
          <w:rFonts w:ascii="TitilliumText22L Lt" w:hAnsi="TitilliumText22L Lt"/>
        </w:rPr>
      </w:pPr>
    </w:p>
    <w:p w14:paraId="6B958A21" w14:textId="333EA62E" w:rsidR="00BD234B" w:rsidRPr="00BD234B" w:rsidRDefault="00BD234B" w:rsidP="00BD234B">
      <w:pPr>
        <w:spacing w:after="0" w:line="288" w:lineRule="auto"/>
        <w:jc w:val="both"/>
        <w:rPr>
          <w:rFonts w:ascii="TitilliumText22L Lt" w:hAnsi="TitilliumText22L Lt"/>
        </w:rPr>
      </w:pPr>
      <w:r w:rsidRPr="00BD234B">
        <w:rPr>
          <w:rFonts w:ascii="TitilliumText22L Lt" w:hAnsi="TitilliumText22L Lt"/>
        </w:rPr>
        <w:t>Innerhalb des Unternehmens erhalten ausschließlich diejenigen Stellen Zugriff auf die Daten, die diese zur Erfüllung der vertraglichen und rechtlichen Pflichten bzw. zur Umsetzung unseres berechtigten Interesses benötigen (</w:t>
      </w:r>
      <w:proofErr w:type="spellStart"/>
      <w:r w:rsidRPr="00BD234B">
        <w:rPr>
          <w:rFonts w:ascii="TitilliumText22L Lt" w:hAnsi="TitilliumText22L Lt"/>
        </w:rPr>
        <w:t>i.W</w:t>
      </w:r>
      <w:proofErr w:type="spellEnd"/>
      <w:r w:rsidRPr="00BD234B">
        <w:rPr>
          <w:rFonts w:ascii="TitilliumText22L Lt" w:hAnsi="TitilliumText22L Lt"/>
        </w:rPr>
        <w:t xml:space="preserve">. Vertriebsabteilung und Buchhaltung). Wir können Ihre personenbezogenen Daten an mit uns verbundene Unternehmen übermitteln, soweit dies im Rahmen der unter Ziffer 3 dieses Datenschutzinformationsblatts dargelegten Zwecke und Rechtsgrundlagen zulässig ist. Auch von uns eingesetzte </w:t>
      </w:r>
      <w:proofErr w:type="spellStart"/>
      <w:r w:rsidRPr="00BD234B">
        <w:rPr>
          <w:rFonts w:ascii="TitilliumText22L Lt" w:hAnsi="TitilliumText22L Lt"/>
        </w:rPr>
        <w:t>Auftragsverarbeiter</w:t>
      </w:r>
      <w:proofErr w:type="spellEnd"/>
      <w:r w:rsidRPr="00BD234B">
        <w:rPr>
          <w:rFonts w:ascii="TitilliumText22L Lt" w:hAnsi="TitilliumText22L Lt"/>
        </w:rPr>
        <w:t xml:space="preserve"> gem. Art. 28 DS-GVO können zu diesen Zwecken Daten verarbeiten wie z.B. IT-Dienstleister und Anbieter von Cloud-Dienstleistungen sowie von Kund</w:t>
      </w:r>
      <w:r>
        <w:rPr>
          <w:rFonts w:ascii="TitilliumText22L Lt" w:hAnsi="TitilliumText22L Lt"/>
        </w:rPr>
        <w:t>enmanagementsys</w:t>
      </w:r>
      <w:r w:rsidRPr="00BD234B">
        <w:rPr>
          <w:rFonts w:ascii="TitilliumText22L Lt" w:hAnsi="TitilliumText22L Lt"/>
        </w:rPr>
        <w:t>temen und -software. Sämtliche Dienstleister sind vertraglich dazu verpflichtet, Ihre Daten vertraulich zu behandeln.</w:t>
      </w:r>
    </w:p>
    <w:p w14:paraId="62E11204" w14:textId="77777777" w:rsidR="00BD234B" w:rsidRPr="00BD234B" w:rsidRDefault="00BD234B" w:rsidP="00BD234B">
      <w:pPr>
        <w:spacing w:after="0" w:line="288" w:lineRule="auto"/>
        <w:jc w:val="both"/>
        <w:rPr>
          <w:rFonts w:ascii="TitilliumText22L Lt" w:hAnsi="TitilliumText22L Lt"/>
        </w:rPr>
      </w:pPr>
    </w:p>
    <w:p w14:paraId="5C7633EF" w14:textId="284246F7" w:rsidR="002658B6" w:rsidRPr="002658B6" w:rsidRDefault="00BD234B" w:rsidP="00BD234B">
      <w:pPr>
        <w:spacing w:after="0" w:line="288" w:lineRule="auto"/>
        <w:jc w:val="both"/>
        <w:rPr>
          <w:rFonts w:ascii="TitilliumText22L Lt" w:hAnsi="TitilliumText22L Lt"/>
        </w:rPr>
      </w:pPr>
      <w:r w:rsidRPr="00BD234B">
        <w:rPr>
          <w:rFonts w:ascii="TitilliumText22L Lt" w:hAnsi="TitilliumText22L Lt"/>
        </w:rPr>
        <w:t>Eine Weitergabe von Daten an Empfänger außerhalb des Unternehmens erfolgt nur unter Beachtung der anzuwendenden Vorschriften zum Date</w:t>
      </w:r>
      <w:r>
        <w:rPr>
          <w:rFonts w:ascii="TitilliumText22L Lt" w:hAnsi="TitilliumText22L Lt"/>
        </w:rPr>
        <w:t>nschutz. Empfänger personenbezo</w:t>
      </w:r>
      <w:r w:rsidRPr="00BD234B">
        <w:rPr>
          <w:rFonts w:ascii="TitilliumText22L Lt" w:hAnsi="TitilliumText22L Lt"/>
        </w:rPr>
        <w:t>gener Daten können z.B. sein Unternehmen im Bereich Logistik, Dienstleister, Lieferanten, Nachunternehmer, Steuerberater, Wirtschafts- und Betriebsprüfer, Kredit- und Finanz-dienstleister, Bonitäts-Auskunfteien, Inkassounternehmen, Rechtsanwälte sowie Behörden. In solchen Fällen werden Informationen an diese Unte</w:t>
      </w:r>
      <w:r>
        <w:rPr>
          <w:rFonts w:ascii="TitilliumText22L Lt" w:hAnsi="TitilliumText22L Lt"/>
        </w:rPr>
        <w:t>rnehmen bzw. Einzelpersonen wei</w:t>
      </w:r>
      <w:r w:rsidRPr="00BD234B">
        <w:rPr>
          <w:rFonts w:ascii="TitilliumText22L Lt" w:hAnsi="TitilliumText22L Lt"/>
        </w:rPr>
        <w:t>tergegeben, um diesen die weitere Bearbeitung zu ermöglichen.</w:t>
      </w:r>
      <w:r>
        <w:rPr>
          <w:rFonts w:ascii="TitilliumText22L Lt" w:hAnsi="TitilliumText22L Lt"/>
        </w:rPr>
        <w:t xml:space="preserve"> </w:t>
      </w:r>
    </w:p>
    <w:p w14:paraId="3DB34632" w14:textId="77E06A4B" w:rsidR="002658B6" w:rsidRDefault="002658B6" w:rsidP="002658B6">
      <w:pPr>
        <w:spacing w:after="0" w:line="288" w:lineRule="auto"/>
        <w:jc w:val="both"/>
        <w:rPr>
          <w:rFonts w:ascii="TitilliumText22L Lt" w:hAnsi="TitilliumText22L Lt"/>
        </w:rPr>
      </w:pPr>
    </w:p>
    <w:p w14:paraId="775AC344" w14:textId="77777777" w:rsidR="002658B6" w:rsidRPr="002658B6" w:rsidRDefault="002658B6" w:rsidP="002658B6">
      <w:pPr>
        <w:spacing w:after="0" w:line="288" w:lineRule="auto"/>
        <w:jc w:val="both"/>
        <w:rPr>
          <w:rFonts w:ascii="TitilliumText22L Lt" w:hAnsi="TitilliumText22L Lt"/>
        </w:rPr>
      </w:pPr>
    </w:p>
    <w:p w14:paraId="2198B4FF" w14:textId="501515F3" w:rsidR="002658B6" w:rsidRDefault="002658B6" w:rsidP="002658B6">
      <w:pPr>
        <w:pStyle w:val="berschrift2"/>
        <w:numPr>
          <w:ilvl w:val="0"/>
          <w:numId w:val="19"/>
        </w:numPr>
      </w:pPr>
      <w:bookmarkStart w:id="8" w:name="_Toc196387170"/>
      <w:r w:rsidRPr="002658B6">
        <w:lastRenderedPageBreak/>
        <w:t>Übermittlung an ein Drittland (außerhalb EU / EWR) oder an eine internationale Organisation</w:t>
      </w:r>
      <w:bookmarkEnd w:id="8"/>
    </w:p>
    <w:p w14:paraId="091049A4" w14:textId="77777777" w:rsidR="002C4746" w:rsidRPr="002C4746" w:rsidRDefault="002C4746" w:rsidP="002C4746"/>
    <w:p w14:paraId="7C5A32C1" w14:textId="59ECE2D2" w:rsidR="002658B6" w:rsidRDefault="00BD234B" w:rsidP="002658B6">
      <w:pPr>
        <w:spacing w:after="0" w:line="288" w:lineRule="auto"/>
        <w:jc w:val="both"/>
        <w:rPr>
          <w:rFonts w:ascii="TitilliumText22L Lt" w:hAnsi="TitilliumText22L Lt"/>
        </w:rPr>
      </w:pPr>
      <w:r w:rsidRPr="00BD234B">
        <w:rPr>
          <w:rFonts w:ascii="TitilliumText22L Lt" w:hAnsi="TitilliumText22L Lt"/>
        </w:rPr>
        <w:t xml:space="preserve">Die Übermittlung personenbezogener Daten in ein Drittland erfolgt im Rahmen der Auftragsabwicklung </w:t>
      </w:r>
      <w:bookmarkStart w:id="9" w:name="_Hlk116203011"/>
      <w:r w:rsidRPr="00BD234B">
        <w:rPr>
          <w:rFonts w:ascii="TitilliumText22L Lt" w:hAnsi="TitilliumText22L Lt"/>
        </w:rPr>
        <w:t>unter Beachtung der anzuwendenden Vorschriften zum Datenschutz</w:t>
      </w:r>
      <w:bookmarkEnd w:id="9"/>
      <w:r w:rsidRPr="00BD234B">
        <w:rPr>
          <w:rFonts w:ascii="TitilliumText22L Lt" w:hAnsi="TitilliumText22L Lt"/>
        </w:rPr>
        <w:t xml:space="preserve"> grundsätzlich aufgrund eines EU-Angemessenheitsbeschlusses (</w:t>
      </w:r>
      <w:proofErr w:type="spellStart"/>
      <w:r w:rsidRPr="00BD234B">
        <w:rPr>
          <w:rFonts w:ascii="TitilliumText22L Lt" w:hAnsi="TitilliumText22L Lt"/>
        </w:rPr>
        <w:t>i.W</w:t>
      </w:r>
      <w:proofErr w:type="spellEnd"/>
      <w:r w:rsidRPr="00BD234B">
        <w:rPr>
          <w:rFonts w:ascii="TitilliumText22L Lt" w:hAnsi="TitilliumText22L Lt"/>
        </w:rPr>
        <w:t>. USA) sowie der Unterzeichnung von Standarddatenschutzklauseln unter Berücksichtigung vertraglicher, technischer und organisatorischer Maßnahmen zur Einhaltung des Datenschutzniveaus der EU. Sollte die Datenübermittlung an ein Drittland erfolgen, das den genannten Kriterien nicht entspricht, geschieht dies in Ausnahmefällen auf Grundlage einer rechtlichen Verpflichtung oder Einwilligung durch die oder den Betroffenen. Zu den Empfängern können in diesen Fällen z.B. lokale Dienstleister oder Agenturen zählen.</w:t>
      </w:r>
    </w:p>
    <w:p w14:paraId="65A03A43" w14:textId="77777777" w:rsidR="002658B6" w:rsidRPr="002658B6" w:rsidRDefault="002658B6" w:rsidP="002C4746">
      <w:pPr>
        <w:pStyle w:val="berschrift2"/>
      </w:pPr>
    </w:p>
    <w:p w14:paraId="7DBF2391" w14:textId="609ABEFF" w:rsidR="002658B6" w:rsidRPr="002658B6" w:rsidRDefault="002658B6" w:rsidP="002C4746">
      <w:pPr>
        <w:pStyle w:val="berschrift2"/>
        <w:numPr>
          <w:ilvl w:val="0"/>
          <w:numId w:val="19"/>
        </w:numPr>
      </w:pPr>
      <w:bookmarkStart w:id="10" w:name="_Toc196387171"/>
      <w:r w:rsidRPr="002658B6">
        <w:t>Dauer, für die die personenbezogenen Daten gespeichert werden und die Kriterien für die Festlegung dieser Dauer</w:t>
      </w:r>
      <w:bookmarkEnd w:id="10"/>
    </w:p>
    <w:p w14:paraId="28C45FD2" w14:textId="77777777" w:rsidR="002658B6" w:rsidRPr="002658B6" w:rsidRDefault="002658B6" w:rsidP="002658B6">
      <w:pPr>
        <w:spacing w:after="0" w:line="288" w:lineRule="auto"/>
        <w:jc w:val="both"/>
        <w:rPr>
          <w:rFonts w:ascii="TitilliumText22L Lt" w:hAnsi="TitilliumText22L Lt"/>
          <w:b/>
        </w:rPr>
      </w:pPr>
    </w:p>
    <w:p w14:paraId="45238FE9" w14:textId="55992A4E" w:rsidR="002658B6" w:rsidRPr="002658B6" w:rsidRDefault="00BD234B" w:rsidP="00BD234B">
      <w:pPr>
        <w:spacing w:after="0" w:line="288" w:lineRule="auto"/>
        <w:jc w:val="both"/>
        <w:rPr>
          <w:rFonts w:ascii="TitilliumText22L Lt" w:hAnsi="TitilliumText22L Lt"/>
        </w:rPr>
      </w:pPr>
      <w:r w:rsidRPr="00BD234B">
        <w:rPr>
          <w:rFonts w:ascii="TitilliumText22L Lt" w:hAnsi="TitilliumText22L Lt"/>
          <w:iCs/>
        </w:rPr>
        <w:t>Die erforderlichen personenbezogenen Daten werden für die Dauer des Bestehens von Gewährleistungs- und Garantieansprüchen gespeichert</w:t>
      </w:r>
      <w:r>
        <w:rPr>
          <w:rFonts w:ascii="TitilliumText22L Lt" w:hAnsi="TitilliumText22L Lt"/>
          <w:iCs/>
        </w:rPr>
        <w:t>. Zudem werden die personenbezo</w:t>
      </w:r>
      <w:r w:rsidRPr="00BD234B">
        <w:rPr>
          <w:rFonts w:ascii="TitilliumText22L Lt" w:hAnsi="TitilliumText22L Lt"/>
          <w:iCs/>
        </w:rPr>
        <w:t xml:space="preserve">genen Daten gemäß den gesetzlich vorgegebenen Fristen aufbewahrt. Entsprechende Nachweis- und Aufbewahrungspflichten ergeben sich aus dem Handelsgesetzbuch (HGB) und der Abgabenordnung (AO). Die dort vorgegebenen Fristen zur Aufbewahrung bzw. Dokumentation betragen danach bis zu 8 Jahren. Sind die Daten für die Erfüllung vertraglicher oder gesetzlicher Pflichten nicht mehr erforderlich, werden sie regelmäßig gelöscht. </w:t>
      </w:r>
    </w:p>
    <w:p w14:paraId="0054AEF2" w14:textId="77777777" w:rsidR="002658B6" w:rsidRPr="002658B6" w:rsidRDefault="002658B6" w:rsidP="002658B6">
      <w:pPr>
        <w:spacing w:after="0" w:line="288" w:lineRule="auto"/>
        <w:jc w:val="both"/>
        <w:rPr>
          <w:rFonts w:ascii="TitilliumText22L Lt" w:hAnsi="TitilliumText22L Lt"/>
        </w:rPr>
      </w:pPr>
    </w:p>
    <w:p w14:paraId="4BC83076" w14:textId="77777777" w:rsidR="002658B6" w:rsidRPr="002658B6" w:rsidRDefault="002658B6" w:rsidP="002658B6">
      <w:pPr>
        <w:spacing w:after="0" w:line="288" w:lineRule="auto"/>
        <w:jc w:val="both"/>
        <w:rPr>
          <w:rFonts w:ascii="TitilliumText22L Lt" w:hAnsi="TitilliumText22L Lt"/>
          <w:b/>
        </w:rPr>
      </w:pPr>
      <w:r w:rsidRPr="002658B6">
        <w:rPr>
          <w:rFonts w:ascii="TitilliumText22L Lt" w:hAnsi="TitilliumText22L Lt"/>
          <w:b/>
        </w:rPr>
        <w:t xml:space="preserve">Zusätzlich zu den oben genannten Informationen folgt nachstehend eine Übersicht Ihrer sonstigen Datenschutzrechte: </w:t>
      </w:r>
    </w:p>
    <w:p w14:paraId="59F801B3" w14:textId="77777777" w:rsidR="002658B6" w:rsidRPr="002658B6" w:rsidRDefault="002658B6" w:rsidP="002658B6">
      <w:pPr>
        <w:spacing w:after="0" w:line="288" w:lineRule="auto"/>
        <w:jc w:val="both"/>
        <w:rPr>
          <w:rFonts w:ascii="TitilliumText22L Lt" w:hAnsi="TitilliumText22L Lt"/>
          <w:b/>
        </w:rPr>
      </w:pPr>
    </w:p>
    <w:p w14:paraId="1A66084C"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 xml:space="preserve">Auskunftsrecht über die betreffenden personenbezogenen Daten (Art. 15 DS-GVO) </w:t>
      </w:r>
    </w:p>
    <w:p w14:paraId="5758FE09"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Recht auf Berichtigung (Art. 16 DS-GVO), Löschung (Art. 17 DS-GVO) sowie auf Einschränkung der Verarbeitung (Art. 18 DS-GVO)</w:t>
      </w:r>
    </w:p>
    <w:p w14:paraId="0C16827A"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Widerspruchsrecht gegen die Verarbeitung (Art. 21 DS-GVO)</w:t>
      </w:r>
    </w:p>
    <w:p w14:paraId="569848AD"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Recht auf Datenübertragbarkeit (Art. 20 DS-GVO)</w:t>
      </w:r>
    </w:p>
    <w:p w14:paraId="2B290431"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 xml:space="preserve">Recht, die Einwilligung jederzeit zu widerrufen, ohne dass die Rechtmäßigkeit der aufgrund der Einwilligung bis zum Widerruf erfolgten Verarbeitung berührt wird (Art. 7 Abs. 3 DS-GVO) </w:t>
      </w:r>
    </w:p>
    <w:p w14:paraId="5F92A27E" w14:textId="77777777" w:rsidR="002658B6" w:rsidRPr="002658B6" w:rsidRDefault="002658B6" w:rsidP="002658B6">
      <w:pPr>
        <w:numPr>
          <w:ilvl w:val="0"/>
          <w:numId w:val="17"/>
        </w:numPr>
        <w:spacing w:after="0" w:line="288" w:lineRule="auto"/>
        <w:jc w:val="both"/>
        <w:rPr>
          <w:rFonts w:ascii="TitilliumText22L Lt" w:hAnsi="TitilliumText22L Lt"/>
        </w:rPr>
      </w:pPr>
      <w:r w:rsidRPr="002658B6">
        <w:rPr>
          <w:rFonts w:ascii="TitilliumText22L Lt" w:hAnsi="TitilliumText22L Lt"/>
        </w:rPr>
        <w:t>Beschwerderecht bei einer Aufsichtsbehörde (Art. 77 DS-GVO)</w:t>
      </w:r>
    </w:p>
    <w:p w14:paraId="17709BAF" w14:textId="77777777" w:rsidR="002658B6" w:rsidRPr="002658B6" w:rsidRDefault="002658B6" w:rsidP="002658B6">
      <w:pPr>
        <w:spacing w:after="0" w:line="288" w:lineRule="auto"/>
        <w:jc w:val="both"/>
        <w:rPr>
          <w:rFonts w:ascii="TitilliumText22L Lt" w:hAnsi="TitilliumText22L Lt"/>
        </w:rPr>
      </w:pPr>
    </w:p>
    <w:p w14:paraId="56114F3B" w14:textId="44243D65" w:rsidR="002658B6" w:rsidRDefault="00BD234B" w:rsidP="002658B6">
      <w:pPr>
        <w:spacing w:after="0" w:line="288" w:lineRule="auto"/>
        <w:jc w:val="both"/>
        <w:rPr>
          <w:rFonts w:ascii="TitilliumText22L Lt" w:hAnsi="TitilliumText22L Lt"/>
        </w:rPr>
      </w:pPr>
      <w:bookmarkStart w:id="11" w:name="_Hlk56149779"/>
      <w:r w:rsidRPr="00BD234B">
        <w:rPr>
          <w:rFonts w:ascii="TitilliumText22L Lt" w:hAnsi="TitilliumText22L Lt"/>
        </w:rPr>
        <w:t>Zur Begründung, Erfüllung oder Durchführung der Gesc</w:t>
      </w:r>
      <w:r>
        <w:rPr>
          <w:rFonts w:ascii="TitilliumText22L Lt" w:hAnsi="TitilliumText22L Lt"/>
        </w:rPr>
        <w:t>häftsbeziehung sowie für vorver</w:t>
      </w:r>
      <w:r w:rsidRPr="00BD234B">
        <w:rPr>
          <w:rFonts w:ascii="TitilliumText22L Lt" w:hAnsi="TitilliumText22L Lt"/>
        </w:rPr>
        <w:t>tragliche Maßnahmen nutzen wir grundsätzlich keine voll</w:t>
      </w:r>
      <w:r>
        <w:rPr>
          <w:rFonts w:ascii="TitilliumText22L Lt" w:hAnsi="TitilliumText22L Lt"/>
        </w:rPr>
        <w:t>automatisierte Entscheidungsfin</w:t>
      </w:r>
      <w:r w:rsidRPr="00BD234B">
        <w:rPr>
          <w:rFonts w:ascii="TitilliumText22L Lt" w:hAnsi="TitilliumText22L Lt"/>
        </w:rPr>
        <w:t>dung gemäß Art. 22 DS-GVO. Sollten wir diese Verfahren in Einzelfällen einsetzen, werden wir Sie hierüber gesondert informieren bzw. Ihre Einwilligung einholen, sofern dies gesetzlich vorgegeben ist.</w:t>
      </w:r>
      <w:r>
        <w:rPr>
          <w:rFonts w:ascii="TitilliumText22L Lt" w:hAnsi="TitilliumText22L Lt"/>
        </w:rPr>
        <w:t xml:space="preserve"> </w:t>
      </w:r>
    </w:p>
    <w:p w14:paraId="3D542874" w14:textId="0BF708B2" w:rsidR="00BD234B" w:rsidRDefault="00BD234B" w:rsidP="002658B6">
      <w:pPr>
        <w:spacing w:after="0" w:line="288" w:lineRule="auto"/>
        <w:jc w:val="both"/>
        <w:rPr>
          <w:rFonts w:ascii="TitilliumText22L Lt" w:hAnsi="TitilliumText22L Lt"/>
        </w:rPr>
      </w:pPr>
    </w:p>
    <w:p w14:paraId="24B29FD9" w14:textId="77777777" w:rsidR="00BD234B" w:rsidRDefault="00BD234B" w:rsidP="002658B6">
      <w:pPr>
        <w:spacing w:after="0" w:line="288" w:lineRule="auto"/>
        <w:jc w:val="both"/>
        <w:rPr>
          <w:rFonts w:ascii="TitilliumText22L Lt" w:hAnsi="TitilliumText22L Lt"/>
          <w:b/>
          <w:bCs/>
        </w:rPr>
      </w:pPr>
    </w:p>
    <w:p w14:paraId="557FE40A" w14:textId="77777777" w:rsidR="00BD234B" w:rsidRDefault="00BD234B" w:rsidP="002658B6">
      <w:pPr>
        <w:spacing w:after="0" w:line="288" w:lineRule="auto"/>
        <w:jc w:val="both"/>
        <w:rPr>
          <w:rFonts w:ascii="TitilliumText22L Lt" w:hAnsi="TitilliumText22L Lt"/>
          <w:b/>
          <w:bCs/>
        </w:rPr>
      </w:pPr>
    </w:p>
    <w:p w14:paraId="10188DD3" w14:textId="77777777" w:rsidR="00BD234B" w:rsidRDefault="00BD234B" w:rsidP="002658B6">
      <w:pPr>
        <w:spacing w:after="0" w:line="288" w:lineRule="auto"/>
        <w:jc w:val="both"/>
        <w:rPr>
          <w:rFonts w:ascii="TitilliumText22L Lt" w:hAnsi="TitilliumText22L Lt"/>
          <w:b/>
          <w:bCs/>
        </w:rPr>
      </w:pPr>
    </w:p>
    <w:p w14:paraId="77CF3016" w14:textId="239B18F1" w:rsidR="002658B6" w:rsidRPr="002658B6" w:rsidRDefault="002658B6" w:rsidP="002658B6">
      <w:pPr>
        <w:spacing w:after="0" w:line="288" w:lineRule="auto"/>
        <w:jc w:val="both"/>
        <w:rPr>
          <w:rFonts w:ascii="TitilliumText22L Lt" w:hAnsi="TitilliumText22L Lt"/>
          <w:b/>
          <w:bCs/>
        </w:rPr>
      </w:pPr>
      <w:r w:rsidRPr="002658B6">
        <w:rPr>
          <w:rFonts w:ascii="TitilliumText22L Lt" w:hAnsi="TitilliumText22L Lt"/>
          <w:b/>
          <w:bCs/>
        </w:rPr>
        <w:lastRenderedPageBreak/>
        <w:t>Gibt es eine Pflicht zur Bereitstellung von Daten?</w:t>
      </w:r>
    </w:p>
    <w:p w14:paraId="6274C3D6" w14:textId="77777777" w:rsidR="002658B6" w:rsidRPr="002658B6" w:rsidRDefault="002658B6" w:rsidP="002658B6">
      <w:pPr>
        <w:spacing w:after="0" w:line="288" w:lineRule="auto"/>
        <w:jc w:val="both"/>
        <w:rPr>
          <w:rFonts w:ascii="TitilliumText22L Lt" w:hAnsi="TitilliumText22L Lt"/>
        </w:rPr>
      </w:pPr>
    </w:p>
    <w:p w14:paraId="3489CEB8" w14:textId="3BD3C09A" w:rsidR="002658B6" w:rsidRPr="002658B6" w:rsidRDefault="00BD234B" w:rsidP="00BD234B">
      <w:pPr>
        <w:spacing w:after="0" w:line="288" w:lineRule="auto"/>
        <w:jc w:val="both"/>
        <w:rPr>
          <w:rFonts w:ascii="TitilliumText22L Lt" w:hAnsi="TitilliumText22L Lt"/>
        </w:rPr>
      </w:pPr>
      <w:r w:rsidRPr="00BD234B">
        <w:rPr>
          <w:rFonts w:ascii="TitilliumText22L Lt" w:hAnsi="TitilliumText22L Lt"/>
        </w:rPr>
        <w:t>Im Rahmen des Vertragsverhältnisses bzw. der Vertragsanbahnung müssen Sie diejenigen personenbezogenen Daten bereitstellen, die für die Aufnahme, Durchführung und Beendigung sowie zur Erfüllung der damit verbundenen vertraglichen Pflichten erforderlich oder zu deren Erhebung wir gesetzlich verpflichtet sind. Eine Pflicht, diese Daten zur Verfügung zu stellen, besteht nicht. Ohne diese Daten werden wir in der Regel nicht in der Lage sein, die erforderlichen vorvertraglichen Maßnahmen bzw. das Vertr</w:t>
      </w:r>
      <w:r>
        <w:rPr>
          <w:rFonts w:ascii="TitilliumText22L Lt" w:hAnsi="TitilliumText22L Lt"/>
        </w:rPr>
        <w:t>agsverhältnis mit Ihnen durchzu</w:t>
      </w:r>
      <w:r w:rsidRPr="00BD234B">
        <w:rPr>
          <w:rFonts w:ascii="TitilliumText22L Lt" w:hAnsi="TitilliumText22L Lt"/>
        </w:rPr>
        <w:t>führen.</w:t>
      </w:r>
    </w:p>
    <w:p w14:paraId="25CC4ADA" w14:textId="77777777" w:rsidR="002658B6" w:rsidRPr="002658B6" w:rsidRDefault="002658B6" w:rsidP="002658B6">
      <w:pPr>
        <w:spacing w:after="0" w:line="288" w:lineRule="auto"/>
        <w:jc w:val="both"/>
        <w:rPr>
          <w:rFonts w:ascii="TitilliumText22L Lt" w:hAnsi="TitilliumText22L Lt"/>
        </w:rPr>
      </w:pPr>
    </w:p>
    <w:p w14:paraId="29605727" w14:textId="77777777" w:rsidR="002658B6" w:rsidRPr="002658B6" w:rsidRDefault="002658B6" w:rsidP="002658B6">
      <w:pPr>
        <w:spacing w:after="0" w:line="288" w:lineRule="auto"/>
        <w:jc w:val="both"/>
        <w:rPr>
          <w:rFonts w:ascii="TitilliumText22L Lt" w:hAnsi="TitilliumText22L Lt"/>
          <w:b/>
          <w:bCs/>
        </w:rPr>
      </w:pPr>
      <w:r w:rsidRPr="002658B6">
        <w:rPr>
          <w:rFonts w:ascii="TitilliumText22L Lt" w:hAnsi="TitilliumText22L Lt"/>
          <w:b/>
          <w:bCs/>
        </w:rPr>
        <w:t>Gesonderte Information über Ihr Widerspruchsrecht nach Artikel 21 DS-GVO</w:t>
      </w:r>
    </w:p>
    <w:p w14:paraId="6FFC315B" w14:textId="77777777" w:rsidR="002658B6" w:rsidRPr="002658B6" w:rsidRDefault="002658B6" w:rsidP="002658B6">
      <w:pPr>
        <w:spacing w:after="0" w:line="288" w:lineRule="auto"/>
        <w:jc w:val="both"/>
        <w:rPr>
          <w:rFonts w:ascii="TitilliumText22L Lt" w:hAnsi="TitilliumText22L Lt"/>
        </w:rPr>
      </w:pPr>
    </w:p>
    <w:p w14:paraId="40C4CF38" w14:textId="1BE06090" w:rsidR="00BD234B" w:rsidRPr="00BD234B" w:rsidRDefault="00BD234B" w:rsidP="00BD234B">
      <w:pPr>
        <w:spacing w:after="0" w:line="288" w:lineRule="auto"/>
        <w:jc w:val="both"/>
        <w:rPr>
          <w:rFonts w:ascii="TitilliumText22L Lt" w:hAnsi="TitilliumText22L Lt"/>
        </w:rPr>
      </w:pPr>
      <w:r w:rsidRPr="00BD234B">
        <w:rPr>
          <w:rFonts w:ascii="TitilliumText22L Lt" w:hAnsi="TitilliumText22L Lt"/>
        </w:rPr>
        <w:t>Nach Art. 21 Abs. 1 DS-GVO haben Sie das Recht, aus Gründen, die sich aus Ihrer besonderen Situation ergeben, jederzeit gegen die Verarbeitung Sie betreffende</w:t>
      </w:r>
      <w:r>
        <w:rPr>
          <w:rFonts w:ascii="TitilliumText22L Lt" w:hAnsi="TitilliumText22L Lt"/>
        </w:rPr>
        <w:t>r personenbezo</w:t>
      </w:r>
      <w:r w:rsidRPr="00BD234B">
        <w:rPr>
          <w:rFonts w:ascii="TitilliumText22L Lt" w:hAnsi="TitilliumText22L Lt"/>
        </w:rPr>
        <w:t xml:space="preserve">gener Daten, die aufgrund von Artikel 6 Abs. 1 </w:t>
      </w:r>
      <w:proofErr w:type="spellStart"/>
      <w:r w:rsidRPr="00BD234B">
        <w:rPr>
          <w:rFonts w:ascii="TitilliumText22L Lt" w:hAnsi="TitilliumText22L Lt"/>
        </w:rPr>
        <w:t>lit</w:t>
      </w:r>
      <w:proofErr w:type="spellEnd"/>
      <w:r w:rsidRPr="00BD234B">
        <w:rPr>
          <w:rFonts w:ascii="TitilliumText22L Lt" w:hAnsi="TitilliumText22L Lt"/>
        </w:rPr>
        <w:t>. f der DS-GVO (Datenverarbeitung auf der Grundlage einer Interessenabwägung) erfolgt, Widerspruch einzulegen.</w:t>
      </w:r>
    </w:p>
    <w:p w14:paraId="594E71A2" w14:textId="77777777" w:rsidR="00BD234B" w:rsidRPr="00BD234B" w:rsidRDefault="00BD234B" w:rsidP="00BD234B">
      <w:pPr>
        <w:spacing w:after="0" w:line="288" w:lineRule="auto"/>
        <w:jc w:val="both"/>
        <w:rPr>
          <w:rFonts w:ascii="TitilliumText22L Lt" w:hAnsi="TitilliumText22L Lt"/>
        </w:rPr>
      </w:pPr>
    </w:p>
    <w:p w14:paraId="316A28F9" w14:textId="376055D1" w:rsidR="00BD234B" w:rsidRPr="00BD234B" w:rsidRDefault="00BD234B" w:rsidP="00BD234B">
      <w:pPr>
        <w:spacing w:after="0" w:line="288" w:lineRule="auto"/>
        <w:jc w:val="both"/>
        <w:rPr>
          <w:rFonts w:ascii="TitilliumText22L Lt" w:hAnsi="TitilliumText22L Lt"/>
        </w:rPr>
      </w:pPr>
      <w:r w:rsidRPr="00BD234B">
        <w:rPr>
          <w:rFonts w:ascii="TitilliumText22L Lt" w:hAnsi="TitilliumText22L Lt"/>
        </w:rPr>
        <w:t xml:space="preserve">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t>
      </w:r>
    </w:p>
    <w:p w14:paraId="50B2991F" w14:textId="77777777" w:rsidR="00BD234B" w:rsidRPr="00BD234B" w:rsidRDefault="00BD234B" w:rsidP="00BD234B">
      <w:pPr>
        <w:spacing w:after="0" w:line="288" w:lineRule="auto"/>
        <w:jc w:val="both"/>
        <w:rPr>
          <w:rFonts w:ascii="TitilliumText22L Lt" w:hAnsi="TitilliumText22L Lt"/>
        </w:rPr>
      </w:pPr>
    </w:p>
    <w:p w14:paraId="6EA90ABB" w14:textId="28202BE9" w:rsidR="00BD234B" w:rsidRPr="00BD234B" w:rsidRDefault="00BD234B" w:rsidP="00BD234B">
      <w:pPr>
        <w:spacing w:after="0" w:line="288" w:lineRule="auto"/>
        <w:jc w:val="both"/>
        <w:rPr>
          <w:rFonts w:ascii="TitilliumText22L Lt" w:hAnsi="TitilliumText22L Lt"/>
        </w:rPr>
      </w:pPr>
      <w:r w:rsidRPr="00BD234B">
        <w:rPr>
          <w:rFonts w:ascii="TitilliumText22L Lt" w:hAnsi="TitilliumText22L Lt"/>
        </w:rPr>
        <w:t xml:space="preserve">Erfolgt die Verarbeitung, um Direktwerbung zu betreiben, so haben Sie nach Art. 21 Abs. 2 DS-GVO das Recht, jederzeit Widerspruch gegen die Verarbeitung Sie betreffender personenbezogener Daten zum Zwecke derartiger Werbung einzulegen; dies gilt auch für das </w:t>
      </w:r>
      <w:proofErr w:type="spellStart"/>
      <w:r w:rsidRPr="00BD234B">
        <w:rPr>
          <w:rFonts w:ascii="TitilliumText22L Lt" w:hAnsi="TitilliumText22L Lt"/>
        </w:rPr>
        <w:t>Profiling</w:t>
      </w:r>
      <w:proofErr w:type="spellEnd"/>
      <w:r w:rsidRPr="00BD234B">
        <w:rPr>
          <w:rFonts w:ascii="TitilliumText22L Lt" w:hAnsi="TitilliumText22L Lt"/>
        </w:rPr>
        <w:t>, soweit es mit solcher Direktwerbung in Verbindung steht. Widersprechen Sie der Verarbeitung zum Zwecke von Direktwerbung, werden wir Ihre personenbezogenen Daten nicht weiter für diese Zwecke verarbeiten.</w:t>
      </w:r>
    </w:p>
    <w:p w14:paraId="660DAB48" w14:textId="77777777" w:rsidR="00BD234B" w:rsidRPr="00BD234B" w:rsidRDefault="00BD234B" w:rsidP="00BD234B">
      <w:pPr>
        <w:spacing w:after="0" w:line="288" w:lineRule="auto"/>
        <w:jc w:val="both"/>
        <w:rPr>
          <w:rFonts w:ascii="TitilliumText22L Lt" w:hAnsi="TitilliumText22L Lt"/>
        </w:rPr>
      </w:pPr>
    </w:p>
    <w:p w14:paraId="3570D308" w14:textId="3EFD0B2B" w:rsidR="00BD234B" w:rsidRPr="00BD234B" w:rsidRDefault="00BD234B" w:rsidP="00BD234B">
      <w:pPr>
        <w:spacing w:after="0" w:line="288" w:lineRule="auto"/>
        <w:jc w:val="both"/>
        <w:rPr>
          <w:rFonts w:ascii="TitilliumText22L Lt" w:hAnsi="TitilliumText22L Lt"/>
        </w:rPr>
      </w:pPr>
      <w:r w:rsidRPr="00BD234B">
        <w:rPr>
          <w:rFonts w:ascii="TitilliumText22L Lt" w:hAnsi="TitilliumText22L Lt"/>
        </w:rPr>
        <w:t>Möchten Sie von Ihrem Widerspruchsrecht oder den</w:t>
      </w:r>
      <w:r>
        <w:rPr>
          <w:rFonts w:ascii="TitilliumText22L Lt" w:hAnsi="TitilliumText22L Lt"/>
        </w:rPr>
        <w:t xml:space="preserve"> sonstigen Betroffenenrechten Ge</w:t>
      </w:r>
      <w:r w:rsidRPr="00BD234B">
        <w:rPr>
          <w:rFonts w:ascii="TitilliumText22L Lt" w:hAnsi="TitilliumText22L Lt"/>
        </w:rPr>
        <w:t xml:space="preserve">brauch machen, genügt eine Mitteilung in Textform. Sie können uns anschreiben oder sich per E-Mail </w:t>
      </w:r>
    </w:p>
    <w:p w14:paraId="53BE97A8" w14:textId="603E65AA" w:rsidR="002658B6" w:rsidRPr="002658B6" w:rsidRDefault="00BD234B" w:rsidP="00BD234B">
      <w:pPr>
        <w:spacing w:after="0" w:line="288" w:lineRule="auto"/>
        <w:jc w:val="both"/>
        <w:rPr>
          <w:rFonts w:ascii="TitilliumText22L Lt" w:hAnsi="TitilliumText22L Lt"/>
        </w:rPr>
      </w:pPr>
      <w:r w:rsidRPr="00BD234B">
        <w:rPr>
          <w:rFonts w:ascii="TitilliumText22L Lt" w:hAnsi="TitilliumText22L Lt"/>
        </w:rPr>
        <w:t>an den Verantwortlichen oder unser Datenschutzteam unter den o.g. Kontaktdaten wenden.</w:t>
      </w:r>
      <w:bookmarkEnd w:id="11"/>
    </w:p>
    <w:sectPr w:rsidR="002658B6" w:rsidRPr="002658B6" w:rsidSect="00FC71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24"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C1222E" w16cex:dateUtc="2024-11-26T13:59:00Z"/>
  <w16cex:commentExtensible w16cex:durableId="5BAB0FB2" w16cex:dateUtc="2024-11-26T13:59:00Z"/>
  <w16cex:commentExtensible w16cex:durableId="48BEF2D4" w16cex:dateUtc="2024-11-2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35914A" w16cid:durableId="01C1222E"/>
  <w16cid:commentId w16cid:paraId="5AC7AC91" w16cid:durableId="5BAB0FB2"/>
  <w16cid:commentId w16cid:paraId="695FEA23" w16cid:durableId="48BEF2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97468" w14:textId="77777777" w:rsidR="00334F96" w:rsidRDefault="00334F96" w:rsidP="00902636">
      <w:pPr>
        <w:spacing w:after="0" w:line="240" w:lineRule="auto"/>
      </w:pPr>
      <w:r>
        <w:separator/>
      </w:r>
    </w:p>
  </w:endnote>
  <w:endnote w:type="continuationSeparator" w:id="0">
    <w:p w14:paraId="33F2D686" w14:textId="77777777" w:rsidR="00334F96" w:rsidRDefault="00334F96" w:rsidP="0090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Text22L Lt">
    <w:panose1 w:val="00000000000000000000"/>
    <w:charset w:val="00"/>
    <w:family w:val="modern"/>
    <w:notTrueType/>
    <w:pitch w:val="variable"/>
    <w:sig w:usb0="A00000EF" w:usb1="0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tilliumText22L Rg">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CFB48" w14:textId="77777777" w:rsidR="002D132B" w:rsidRDefault="002D13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5B17" w14:textId="5F42473A" w:rsidR="0013197B" w:rsidRPr="00633B68" w:rsidRDefault="002D132B" w:rsidP="00887375">
    <w:pPr>
      <w:pStyle w:val="Fuzeile"/>
      <w:rPr>
        <w:rFonts w:ascii="TitilliumText22L Lt" w:hAnsi="TitilliumText22L Lt"/>
        <w:sz w:val="18"/>
      </w:rPr>
    </w:pPr>
    <w:r>
      <w:rPr>
        <w:rFonts w:ascii="TitilliumText22L Lt" w:hAnsi="TitilliumText22L Lt"/>
        <w:sz w:val="18"/>
      </w:rPr>
      <w:t xml:space="preserve">Lichtgitter GmbH, </w:t>
    </w:r>
    <w:r>
      <w:rPr>
        <w:rFonts w:ascii="TitilliumText22L Lt" w:hAnsi="TitilliumText22L Lt"/>
        <w:sz w:val="18"/>
      </w:rPr>
      <w:t>23.07</w:t>
    </w:r>
    <w:bookmarkStart w:id="12" w:name="_GoBack"/>
    <w:bookmarkEnd w:id="12"/>
    <w:r w:rsidR="002658B6">
      <w:rPr>
        <w:rFonts w:ascii="TitilliumText22L Lt" w:hAnsi="TitilliumText22L Lt"/>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1353" w14:textId="77777777" w:rsidR="002D132B" w:rsidRDefault="002D13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F2C73" w14:textId="77777777" w:rsidR="00334F96" w:rsidRDefault="00334F96" w:rsidP="00902636">
      <w:pPr>
        <w:spacing w:after="0" w:line="240" w:lineRule="auto"/>
      </w:pPr>
      <w:r>
        <w:separator/>
      </w:r>
    </w:p>
  </w:footnote>
  <w:footnote w:type="continuationSeparator" w:id="0">
    <w:p w14:paraId="52A0CE62" w14:textId="77777777" w:rsidR="00334F96" w:rsidRDefault="00334F96" w:rsidP="0090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A644" w14:textId="77777777" w:rsidR="002D132B" w:rsidRDefault="002D13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368744"/>
      <w:docPartObj>
        <w:docPartGallery w:val="Page Numbers (Top of Page)"/>
        <w:docPartUnique/>
      </w:docPartObj>
    </w:sdtPr>
    <w:sdtEndPr>
      <w:rPr>
        <w:rFonts w:ascii="TitilliumText22L Lt" w:hAnsi="TitilliumText22L Lt"/>
        <w:sz w:val="20"/>
      </w:rPr>
    </w:sdtEndPr>
    <w:sdtContent>
      <w:p w14:paraId="73807DD6" w14:textId="7308EDDA" w:rsidR="00D757CE" w:rsidRPr="00D757CE" w:rsidRDefault="00D757CE">
        <w:pPr>
          <w:pStyle w:val="Kopfzeile"/>
          <w:jc w:val="center"/>
          <w:rPr>
            <w:rFonts w:ascii="TitilliumText22L Lt" w:hAnsi="TitilliumText22L Lt"/>
            <w:sz w:val="20"/>
          </w:rPr>
        </w:pPr>
        <w:r w:rsidRPr="00D757CE">
          <w:rPr>
            <w:rFonts w:ascii="TitilliumText22L Lt" w:hAnsi="TitilliumText22L Lt"/>
            <w:sz w:val="20"/>
          </w:rPr>
          <w:fldChar w:fldCharType="begin"/>
        </w:r>
        <w:r w:rsidRPr="00D757CE">
          <w:rPr>
            <w:rFonts w:ascii="TitilliumText22L Lt" w:hAnsi="TitilliumText22L Lt"/>
            <w:sz w:val="20"/>
          </w:rPr>
          <w:instrText>PAGE   \* MERGEFORMAT</w:instrText>
        </w:r>
        <w:r w:rsidRPr="00D757CE">
          <w:rPr>
            <w:rFonts w:ascii="TitilliumText22L Lt" w:hAnsi="TitilliumText22L Lt"/>
            <w:sz w:val="20"/>
          </w:rPr>
          <w:fldChar w:fldCharType="separate"/>
        </w:r>
        <w:r w:rsidR="002D132B">
          <w:rPr>
            <w:rFonts w:ascii="TitilliumText22L Lt" w:hAnsi="TitilliumText22L Lt"/>
            <w:noProof/>
            <w:sz w:val="20"/>
          </w:rPr>
          <w:t>2</w:t>
        </w:r>
        <w:r w:rsidRPr="00D757CE">
          <w:rPr>
            <w:rFonts w:ascii="TitilliumText22L Lt" w:hAnsi="TitilliumText22L Lt"/>
            <w:sz w:val="20"/>
          </w:rPr>
          <w:fldChar w:fldCharType="end"/>
        </w:r>
        <w:r w:rsidR="002658B6">
          <w:rPr>
            <w:rFonts w:ascii="TitilliumText22L Lt" w:hAnsi="TitilliumText22L Lt"/>
            <w:sz w:val="20"/>
          </w:rPr>
          <w:t>/4</w:t>
        </w:r>
      </w:p>
    </w:sdtContent>
  </w:sdt>
  <w:p w14:paraId="22085ECA" w14:textId="77777777" w:rsidR="00D757CE" w:rsidRDefault="00D757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2235" w14:textId="6B44390F" w:rsidR="00FC71DE" w:rsidRDefault="00FC71DE" w:rsidP="00FC71DE">
    <w:pPr>
      <w:pStyle w:val="Kopfzeile"/>
    </w:pPr>
    <w:r>
      <w:rPr>
        <w:noProof/>
        <w:lang w:eastAsia="de-DE"/>
      </w:rPr>
      <w:drawing>
        <wp:inline distT="0" distB="0" distL="0" distR="0" wp14:anchorId="5BD451EB" wp14:editId="4A094776">
          <wp:extent cx="447675" cy="453565"/>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_Logo-4C-DV.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492603" cy="499085"/>
                  </a:xfrm>
                  <a:prstGeom prst="rect">
                    <a:avLst/>
                  </a:prstGeom>
                </pic:spPr>
              </pic:pic>
            </a:graphicData>
          </a:graphic>
        </wp:inline>
      </w:drawing>
    </w:r>
  </w:p>
  <w:p w14:paraId="334DD3E9" w14:textId="77777777" w:rsidR="00FC71DE" w:rsidRDefault="00FC71DE" w:rsidP="00FC71DE">
    <w:pPr>
      <w:pStyle w:val="Kopfzeile"/>
    </w:pPr>
  </w:p>
  <w:p w14:paraId="3D78DC41" w14:textId="77777777" w:rsidR="00FC71DE" w:rsidRDefault="00FC71DE" w:rsidP="00FC71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5EA"/>
    <w:multiLevelType w:val="hybridMultilevel"/>
    <w:tmpl w:val="E74AAF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E7F90"/>
    <w:multiLevelType w:val="hybridMultilevel"/>
    <w:tmpl w:val="76A4FB04"/>
    <w:lvl w:ilvl="0" w:tplc="A48277C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82E74"/>
    <w:multiLevelType w:val="hybridMultilevel"/>
    <w:tmpl w:val="6C22C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C27CE9"/>
    <w:multiLevelType w:val="hybridMultilevel"/>
    <w:tmpl w:val="BA025B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7A96543"/>
    <w:multiLevelType w:val="hybridMultilevel"/>
    <w:tmpl w:val="7514F56E"/>
    <w:lvl w:ilvl="0" w:tplc="434AF654">
      <w:start w:val="3"/>
      <w:numFmt w:val="bullet"/>
      <w:lvlText w:val="-"/>
      <w:lvlJc w:val="left"/>
      <w:pPr>
        <w:ind w:left="1800" w:hanging="360"/>
      </w:pPr>
      <w:rPr>
        <w:rFonts w:ascii="Arial" w:eastAsiaTheme="minorHAnsi"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 w15:restartNumberingAfterBreak="0">
    <w:nsid w:val="1C0235D4"/>
    <w:multiLevelType w:val="hybridMultilevel"/>
    <w:tmpl w:val="B34CF7EE"/>
    <w:lvl w:ilvl="0" w:tplc="434AF654">
      <w:start w:val="3"/>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708" w:hanging="360"/>
      </w:pPr>
      <w:rPr>
        <w:rFonts w:ascii="Courier New" w:hAnsi="Courier New" w:cs="Courier New" w:hint="default"/>
      </w:rPr>
    </w:lvl>
    <w:lvl w:ilvl="2" w:tplc="04070001">
      <w:start w:val="1"/>
      <w:numFmt w:val="bullet"/>
      <w:lvlText w:val=""/>
      <w:lvlJc w:val="left"/>
      <w:pPr>
        <w:ind w:left="1428" w:hanging="360"/>
      </w:pPr>
      <w:rPr>
        <w:rFonts w:ascii="Symbol" w:hAnsi="Symbol" w:hint="default"/>
      </w:rPr>
    </w:lvl>
    <w:lvl w:ilvl="3" w:tplc="04070001" w:tentative="1">
      <w:start w:val="1"/>
      <w:numFmt w:val="bullet"/>
      <w:lvlText w:val=""/>
      <w:lvlJc w:val="left"/>
      <w:pPr>
        <w:ind w:left="2148" w:hanging="360"/>
      </w:pPr>
      <w:rPr>
        <w:rFonts w:ascii="Symbol" w:hAnsi="Symbol" w:hint="default"/>
      </w:rPr>
    </w:lvl>
    <w:lvl w:ilvl="4" w:tplc="04070003" w:tentative="1">
      <w:start w:val="1"/>
      <w:numFmt w:val="bullet"/>
      <w:lvlText w:val="o"/>
      <w:lvlJc w:val="left"/>
      <w:pPr>
        <w:ind w:left="2868" w:hanging="360"/>
      </w:pPr>
      <w:rPr>
        <w:rFonts w:ascii="Courier New" w:hAnsi="Courier New" w:cs="Courier New" w:hint="default"/>
      </w:rPr>
    </w:lvl>
    <w:lvl w:ilvl="5" w:tplc="04070005" w:tentative="1">
      <w:start w:val="1"/>
      <w:numFmt w:val="bullet"/>
      <w:lvlText w:val=""/>
      <w:lvlJc w:val="left"/>
      <w:pPr>
        <w:ind w:left="3588" w:hanging="360"/>
      </w:pPr>
      <w:rPr>
        <w:rFonts w:ascii="Wingdings" w:hAnsi="Wingdings" w:hint="default"/>
      </w:rPr>
    </w:lvl>
    <w:lvl w:ilvl="6" w:tplc="04070001" w:tentative="1">
      <w:start w:val="1"/>
      <w:numFmt w:val="bullet"/>
      <w:lvlText w:val=""/>
      <w:lvlJc w:val="left"/>
      <w:pPr>
        <w:ind w:left="4308" w:hanging="360"/>
      </w:pPr>
      <w:rPr>
        <w:rFonts w:ascii="Symbol" w:hAnsi="Symbol" w:hint="default"/>
      </w:rPr>
    </w:lvl>
    <w:lvl w:ilvl="7" w:tplc="04070003" w:tentative="1">
      <w:start w:val="1"/>
      <w:numFmt w:val="bullet"/>
      <w:lvlText w:val="o"/>
      <w:lvlJc w:val="left"/>
      <w:pPr>
        <w:ind w:left="5028" w:hanging="360"/>
      </w:pPr>
      <w:rPr>
        <w:rFonts w:ascii="Courier New" w:hAnsi="Courier New" w:cs="Courier New" w:hint="default"/>
      </w:rPr>
    </w:lvl>
    <w:lvl w:ilvl="8" w:tplc="04070005" w:tentative="1">
      <w:start w:val="1"/>
      <w:numFmt w:val="bullet"/>
      <w:lvlText w:val=""/>
      <w:lvlJc w:val="left"/>
      <w:pPr>
        <w:ind w:left="5748" w:hanging="360"/>
      </w:pPr>
      <w:rPr>
        <w:rFonts w:ascii="Wingdings" w:hAnsi="Wingdings" w:hint="default"/>
      </w:rPr>
    </w:lvl>
  </w:abstractNum>
  <w:abstractNum w:abstractNumId="6" w15:restartNumberingAfterBreak="0">
    <w:nsid w:val="25D05B30"/>
    <w:multiLevelType w:val="hybridMultilevel"/>
    <w:tmpl w:val="2D14CD0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8FF6826"/>
    <w:multiLevelType w:val="multilevel"/>
    <w:tmpl w:val="50146E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8202D4"/>
    <w:multiLevelType w:val="hybridMultilevel"/>
    <w:tmpl w:val="59683DC4"/>
    <w:lvl w:ilvl="0" w:tplc="1D522D00">
      <w:start w:val="1"/>
      <w:numFmt w:val="decimal"/>
      <w:lvlText w:val="%1."/>
      <w:lvlJc w:val="left"/>
      <w:pPr>
        <w:ind w:left="360" w:hanging="360"/>
      </w:pPr>
      <w:rPr>
        <w:rFonts w:hint="default"/>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C987804"/>
    <w:multiLevelType w:val="hybridMultilevel"/>
    <w:tmpl w:val="0FB4E81C"/>
    <w:lvl w:ilvl="0" w:tplc="0407000F">
      <w:start w:val="1"/>
      <w:numFmt w:val="decimal"/>
      <w:lvlText w:val="%1."/>
      <w:lvlJc w:val="left"/>
      <w:pPr>
        <w:ind w:left="360" w:hanging="360"/>
      </w:pPr>
      <w:rPr>
        <w:rFonts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0" w15:restartNumberingAfterBreak="0">
    <w:nsid w:val="322337F9"/>
    <w:multiLevelType w:val="hybridMultilevel"/>
    <w:tmpl w:val="FB8E3D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D14E09"/>
    <w:multiLevelType w:val="hybridMultilevel"/>
    <w:tmpl w:val="55982BE2"/>
    <w:lvl w:ilvl="0" w:tplc="BFD2587E">
      <w:numFmt w:val="bullet"/>
      <w:lvlText w:val="-"/>
      <w:lvlJc w:val="left"/>
      <w:pPr>
        <w:ind w:left="1800" w:hanging="360"/>
      </w:pPr>
      <w:rPr>
        <w:rFonts w:ascii="Arial" w:eastAsiaTheme="minorHAnsi"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15:restartNumberingAfterBreak="0">
    <w:nsid w:val="37697965"/>
    <w:multiLevelType w:val="multilevel"/>
    <w:tmpl w:val="AE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F0BB4"/>
    <w:multiLevelType w:val="hybridMultilevel"/>
    <w:tmpl w:val="72302F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A4964FC"/>
    <w:multiLevelType w:val="hybridMultilevel"/>
    <w:tmpl w:val="FFE0C428"/>
    <w:lvl w:ilvl="0" w:tplc="DA58EEA0">
      <w:numFmt w:val="bullet"/>
      <w:lvlText w:val="-"/>
      <w:lvlJc w:val="left"/>
      <w:pPr>
        <w:ind w:left="1776" w:hanging="360"/>
      </w:pPr>
      <w:rPr>
        <w:rFonts w:ascii="Arial" w:eastAsiaTheme="minorHAnsi"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5" w15:restartNumberingAfterBreak="0">
    <w:nsid w:val="5FF87232"/>
    <w:multiLevelType w:val="hybridMultilevel"/>
    <w:tmpl w:val="F3B879C6"/>
    <w:lvl w:ilvl="0" w:tplc="3B383A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6C702A"/>
    <w:multiLevelType w:val="hybridMultilevel"/>
    <w:tmpl w:val="32D470A6"/>
    <w:lvl w:ilvl="0" w:tplc="98EE8A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5436DB4"/>
    <w:multiLevelType w:val="hybridMultilevel"/>
    <w:tmpl w:val="E73CAB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CF2357E"/>
    <w:multiLevelType w:val="hybridMultilevel"/>
    <w:tmpl w:val="E1B2F344"/>
    <w:lvl w:ilvl="0" w:tplc="4DCAD7A8">
      <w:start w:val="4"/>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17"/>
  </w:num>
  <w:num w:numId="6">
    <w:abstractNumId w:val="4"/>
  </w:num>
  <w:num w:numId="7">
    <w:abstractNumId w:val="5"/>
  </w:num>
  <w:num w:numId="8">
    <w:abstractNumId w:val="11"/>
  </w:num>
  <w:num w:numId="9">
    <w:abstractNumId w:val="14"/>
  </w:num>
  <w:num w:numId="10">
    <w:abstractNumId w:val="12"/>
  </w:num>
  <w:num w:numId="11">
    <w:abstractNumId w:val="10"/>
  </w:num>
  <w:num w:numId="12">
    <w:abstractNumId w:val="15"/>
  </w:num>
  <w:num w:numId="13">
    <w:abstractNumId w:val="18"/>
  </w:num>
  <w:num w:numId="14">
    <w:abstractNumId w:val="6"/>
  </w:num>
  <w:num w:numId="15">
    <w:abstractNumId w:val="3"/>
  </w:num>
  <w:num w:numId="16">
    <w:abstractNumId w:val="16"/>
  </w:num>
  <w:num w:numId="17">
    <w:abstractNumId w:val="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EA"/>
    <w:rsid w:val="00025BCD"/>
    <w:rsid w:val="000319EC"/>
    <w:rsid w:val="0003510F"/>
    <w:rsid w:val="00072B3A"/>
    <w:rsid w:val="000776CF"/>
    <w:rsid w:val="00096658"/>
    <w:rsid w:val="000B5611"/>
    <w:rsid w:val="000E292E"/>
    <w:rsid w:val="000F4F9E"/>
    <w:rsid w:val="00100E0F"/>
    <w:rsid w:val="00102C2F"/>
    <w:rsid w:val="00127342"/>
    <w:rsid w:val="0013197B"/>
    <w:rsid w:val="00131CEA"/>
    <w:rsid w:val="00142C25"/>
    <w:rsid w:val="001711BC"/>
    <w:rsid w:val="001731E0"/>
    <w:rsid w:val="001747AB"/>
    <w:rsid w:val="00191AE0"/>
    <w:rsid w:val="001D1C9E"/>
    <w:rsid w:val="001D7245"/>
    <w:rsid w:val="001D7A3E"/>
    <w:rsid w:val="001F55F5"/>
    <w:rsid w:val="002011D4"/>
    <w:rsid w:val="002103E1"/>
    <w:rsid w:val="00211425"/>
    <w:rsid w:val="0023125B"/>
    <w:rsid w:val="0025465B"/>
    <w:rsid w:val="002658B6"/>
    <w:rsid w:val="002945D3"/>
    <w:rsid w:val="002962B7"/>
    <w:rsid w:val="002C4746"/>
    <w:rsid w:val="002C7F2D"/>
    <w:rsid w:val="002D132B"/>
    <w:rsid w:val="002F02AD"/>
    <w:rsid w:val="00300473"/>
    <w:rsid w:val="003212EB"/>
    <w:rsid w:val="00322D47"/>
    <w:rsid w:val="0033114E"/>
    <w:rsid w:val="00334F96"/>
    <w:rsid w:val="00362D19"/>
    <w:rsid w:val="00383398"/>
    <w:rsid w:val="003B3A49"/>
    <w:rsid w:val="003C0E9D"/>
    <w:rsid w:val="003F1697"/>
    <w:rsid w:val="0040509C"/>
    <w:rsid w:val="00423358"/>
    <w:rsid w:val="004250B3"/>
    <w:rsid w:val="0048189D"/>
    <w:rsid w:val="004917AE"/>
    <w:rsid w:val="00496309"/>
    <w:rsid w:val="004C569C"/>
    <w:rsid w:val="004D4AFB"/>
    <w:rsid w:val="004D54F5"/>
    <w:rsid w:val="004F42E2"/>
    <w:rsid w:val="004F5EFF"/>
    <w:rsid w:val="004F710F"/>
    <w:rsid w:val="00524D4F"/>
    <w:rsid w:val="0053037F"/>
    <w:rsid w:val="00541DCF"/>
    <w:rsid w:val="00541ED5"/>
    <w:rsid w:val="0055271D"/>
    <w:rsid w:val="005560E0"/>
    <w:rsid w:val="005721FC"/>
    <w:rsid w:val="0057430D"/>
    <w:rsid w:val="005A749D"/>
    <w:rsid w:val="005C52EF"/>
    <w:rsid w:val="005F1093"/>
    <w:rsid w:val="005F1617"/>
    <w:rsid w:val="005F2CD4"/>
    <w:rsid w:val="006113F4"/>
    <w:rsid w:val="00633B68"/>
    <w:rsid w:val="00633E38"/>
    <w:rsid w:val="006709EB"/>
    <w:rsid w:val="00675183"/>
    <w:rsid w:val="006A133F"/>
    <w:rsid w:val="006B4D3C"/>
    <w:rsid w:val="006C3812"/>
    <w:rsid w:val="006D44C5"/>
    <w:rsid w:val="006E011B"/>
    <w:rsid w:val="006E4A82"/>
    <w:rsid w:val="0072422D"/>
    <w:rsid w:val="00750259"/>
    <w:rsid w:val="007A289A"/>
    <w:rsid w:val="007B3410"/>
    <w:rsid w:val="007D1F56"/>
    <w:rsid w:val="007E776A"/>
    <w:rsid w:val="0080789A"/>
    <w:rsid w:val="0085516E"/>
    <w:rsid w:val="00861784"/>
    <w:rsid w:val="0088009C"/>
    <w:rsid w:val="008807C2"/>
    <w:rsid w:val="00887375"/>
    <w:rsid w:val="0089192D"/>
    <w:rsid w:val="008E1851"/>
    <w:rsid w:val="008F3DF7"/>
    <w:rsid w:val="00902636"/>
    <w:rsid w:val="00930A20"/>
    <w:rsid w:val="0093142C"/>
    <w:rsid w:val="00932ECA"/>
    <w:rsid w:val="00947D77"/>
    <w:rsid w:val="0096159A"/>
    <w:rsid w:val="009657F7"/>
    <w:rsid w:val="009737D9"/>
    <w:rsid w:val="00974A23"/>
    <w:rsid w:val="0098393A"/>
    <w:rsid w:val="00990F8B"/>
    <w:rsid w:val="009A5408"/>
    <w:rsid w:val="009B1B21"/>
    <w:rsid w:val="009B45C4"/>
    <w:rsid w:val="009B713C"/>
    <w:rsid w:val="00A1419B"/>
    <w:rsid w:val="00A34C26"/>
    <w:rsid w:val="00A54946"/>
    <w:rsid w:val="00A579AB"/>
    <w:rsid w:val="00A94ECF"/>
    <w:rsid w:val="00A96554"/>
    <w:rsid w:val="00AC6174"/>
    <w:rsid w:val="00AD17E0"/>
    <w:rsid w:val="00AD5D2A"/>
    <w:rsid w:val="00AF06FE"/>
    <w:rsid w:val="00B03C9C"/>
    <w:rsid w:val="00B4367C"/>
    <w:rsid w:val="00B468EF"/>
    <w:rsid w:val="00B64F04"/>
    <w:rsid w:val="00B66C4D"/>
    <w:rsid w:val="00B66E45"/>
    <w:rsid w:val="00B70817"/>
    <w:rsid w:val="00B82518"/>
    <w:rsid w:val="00B85511"/>
    <w:rsid w:val="00B90645"/>
    <w:rsid w:val="00BB0BCF"/>
    <w:rsid w:val="00BB1722"/>
    <w:rsid w:val="00BB597A"/>
    <w:rsid w:val="00BD234B"/>
    <w:rsid w:val="00BF03DA"/>
    <w:rsid w:val="00C039FA"/>
    <w:rsid w:val="00C05252"/>
    <w:rsid w:val="00C22D3A"/>
    <w:rsid w:val="00C319DD"/>
    <w:rsid w:val="00C324CF"/>
    <w:rsid w:val="00C60761"/>
    <w:rsid w:val="00CA466A"/>
    <w:rsid w:val="00CC21D7"/>
    <w:rsid w:val="00CC55F8"/>
    <w:rsid w:val="00CF7A4A"/>
    <w:rsid w:val="00D13E3E"/>
    <w:rsid w:val="00D17437"/>
    <w:rsid w:val="00D4251A"/>
    <w:rsid w:val="00D468DE"/>
    <w:rsid w:val="00D54BE6"/>
    <w:rsid w:val="00D64E20"/>
    <w:rsid w:val="00D7296D"/>
    <w:rsid w:val="00D757CE"/>
    <w:rsid w:val="00DA0375"/>
    <w:rsid w:val="00DA059B"/>
    <w:rsid w:val="00DA440A"/>
    <w:rsid w:val="00DC0EB2"/>
    <w:rsid w:val="00DD5B42"/>
    <w:rsid w:val="00DE796E"/>
    <w:rsid w:val="00DF1C34"/>
    <w:rsid w:val="00DF6764"/>
    <w:rsid w:val="00E13A0E"/>
    <w:rsid w:val="00E16BA6"/>
    <w:rsid w:val="00E213CA"/>
    <w:rsid w:val="00E234F2"/>
    <w:rsid w:val="00E31170"/>
    <w:rsid w:val="00E40914"/>
    <w:rsid w:val="00E830CA"/>
    <w:rsid w:val="00E84680"/>
    <w:rsid w:val="00F02ACF"/>
    <w:rsid w:val="00F40030"/>
    <w:rsid w:val="00F4414F"/>
    <w:rsid w:val="00F712A3"/>
    <w:rsid w:val="00FA2179"/>
    <w:rsid w:val="00FC71DE"/>
    <w:rsid w:val="00FE5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A0BB"/>
  <w15:chartTrackingRefBased/>
  <w15:docId w15:val="{0F70E3F4-1A0F-45B8-B5C2-52634DB3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31C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658B6"/>
    <w:pPr>
      <w:keepNext/>
      <w:keepLines/>
      <w:spacing w:before="40" w:after="0"/>
      <w:outlineLvl w:val="1"/>
    </w:pPr>
    <w:rPr>
      <w:rFonts w:ascii="TitilliumText22L Lt" w:eastAsiaTheme="majorEastAsia" w:hAnsi="TitilliumText22L Lt" w:cstheme="majorBidi"/>
      <w:b/>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CEA"/>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131CEA"/>
    <w:pPr>
      <w:outlineLvl w:val="9"/>
    </w:pPr>
    <w:rPr>
      <w:lang w:eastAsia="de-DE"/>
    </w:rPr>
  </w:style>
  <w:style w:type="paragraph" w:styleId="Verzeichnis1">
    <w:name w:val="toc 1"/>
    <w:basedOn w:val="Standard"/>
    <w:next w:val="Standard"/>
    <w:autoRedefine/>
    <w:uiPriority w:val="39"/>
    <w:unhideWhenUsed/>
    <w:rsid w:val="00131CEA"/>
    <w:pPr>
      <w:spacing w:after="100"/>
    </w:pPr>
  </w:style>
  <w:style w:type="character" w:styleId="Hyperlink">
    <w:name w:val="Hyperlink"/>
    <w:basedOn w:val="Absatz-Standardschriftart"/>
    <w:uiPriority w:val="99"/>
    <w:unhideWhenUsed/>
    <w:rsid w:val="00131CEA"/>
    <w:rPr>
      <w:color w:val="0563C1" w:themeColor="hyperlink"/>
      <w:u w:val="single"/>
    </w:rPr>
  </w:style>
  <w:style w:type="paragraph" w:styleId="Listenabsatz">
    <w:name w:val="List Paragraph"/>
    <w:basedOn w:val="Standard"/>
    <w:uiPriority w:val="34"/>
    <w:qFormat/>
    <w:rsid w:val="00131CEA"/>
    <w:pPr>
      <w:ind w:left="720"/>
      <w:contextualSpacing/>
    </w:pPr>
  </w:style>
  <w:style w:type="character" w:customStyle="1" w:styleId="berschrift2Zchn">
    <w:name w:val="Überschrift 2 Zchn"/>
    <w:basedOn w:val="Absatz-Standardschriftart"/>
    <w:link w:val="berschrift2"/>
    <w:uiPriority w:val="9"/>
    <w:rsid w:val="002658B6"/>
    <w:rPr>
      <w:rFonts w:ascii="TitilliumText22L Lt" w:eastAsiaTheme="majorEastAsia" w:hAnsi="TitilliumText22L Lt" w:cstheme="majorBidi"/>
      <w:b/>
      <w:szCs w:val="26"/>
    </w:rPr>
  </w:style>
  <w:style w:type="paragraph" w:styleId="Verzeichnis2">
    <w:name w:val="toc 2"/>
    <w:basedOn w:val="Standard"/>
    <w:next w:val="Standard"/>
    <w:autoRedefine/>
    <w:uiPriority w:val="39"/>
    <w:unhideWhenUsed/>
    <w:rsid w:val="00E13A0E"/>
    <w:pPr>
      <w:tabs>
        <w:tab w:val="left" w:pos="660"/>
        <w:tab w:val="right" w:leader="dot" w:pos="9062"/>
      </w:tabs>
      <w:spacing w:after="100"/>
    </w:pPr>
  </w:style>
  <w:style w:type="character" w:styleId="Fett">
    <w:name w:val="Strong"/>
    <w:basedOn w:val="Absatz-Standardschriftart"/>
    <w:uiPriority w:val="22"/>
    <w:qFormat/>
    <w:rsid w:val="002945D3"/>
    <w:rPr>
      <w:b/>
      <w:bCs/>
    </w:rPr>
  </w:style>
  <w:style w:type="character" w:styleId="Kommentarzeichen">
    <w:name w:val="annotation reference"/>
    <w:basedOn w:val="Absatz-Standardschriftart"/>
    <w:uiPriority w:val="99"/>
    <w:semiHidden/>
    <w:unhideWhenUsed/>
    <w:rsid w:val="003212EB"/>
    <w:rPr>
      <w:sz w:val="16"/>
      <w:szCs w:val="16"/>
    </w:rPr>
  </w:style>
  <w:style w:type="paragraph" w:styleId="Kommentartext">
    <w:name w:val="annotation text"/>
    <w:basedOn w:val="Standard"/>
    <w:link w:val="KommentartextZchn"/>
    <w:uiPriority w:val="99"/>
    <w:semiHidden/>
    <w:unhideWhenUsed/>
    <w:rsid w:val="003212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12EB"/>
    <w:rPr>
      <w:sz w:val="20"/>
      <w:szCs w:val="20"/>
    </w:rPr>
  </w:style>
  <w:style w:type="paragraph" w:styleId="Kommentarthema">
    <w:name w:val="annotation subject"/>
    <w:basedOn w:val="Kommentartext"/>
    <w:next w:val="Kommentartext"/>
    <w:link w:val="KommentarthemaZchn"/>
    <w:uiPriority w:val="99"/>
    <w:semiHidden/>
    <w:unhideWhenUsed/>
    <w:rsid w:val="003212EB"/>
    <w:rPr>
      <w:b/>
      <w:bCs/>
    </w:rPr>
  </w:style>
  <w:style w:type="character" w:customStyle="1" w:styleId="KommentarthemaZchn">
    <w:name w:val="Kommentarthema Zchn"/>
    <w:basedOn w:val="KommentartextZchn"/>
    <w:link w:val="Kommentarthema"/>
    <w:uiPriority w:val="99"/>
    <w:semiHidden/>
    <w:rsid w:val="003212EB"/>
    <w:rPr>
      <w:b/>
      <w:bCs/>
      <w:sz w:val="20"/>
      <w:szCs w:val="20"/>
    </w:rPr>
  </w:style>
  <w:style w:type="character" w:customStyle="1" w:styleId="UnresolvedMention">
    <w:name w:val="Unresolved Mention"/>
    <w:basedOn w:val="Absatz-Standardschriftart"/>
    <w:uiPriority w:val="99"/>
    <w:semiHidden/>
    <w:unhideWhenUsed/>
    <w:rsid w:val="003212EB"/>
    <w:rPr>
      <w:color w:val="605E5C"/>
      <w:shd w:val="clear" w:color="auto" w:fill="E1DFDD"/>
    </w:rPr>
  </w:style>
  <w:style w:type="paragraph" w:styleId="berarbeitung">
    <w:name w:val="Revision"/>
    <w:hidden/>
    <w:uiPriority w:val="99"/>
    <w:semiHidden/>
    <w:rsid w:val="00D54BE6"/>
    <w:pPr>
      <w:spacing w:after="0" w:line="240" w:lineRule="auto"/>
    </w:pPr>
  </w:style>
  <w:style w:type="character" w:styleId="BesuchterLink">
    <w:name w:val="FollowedHyperlink"/>
    <w:basedOn w:val="Absatz-Standardschriftart"/>
    <w:uiPriority w:val="99"/>
    <w:semiHidden/>
    <w:unhideWhenUsed/>
    <w:rsid w:val="00B64F04"/>
    <w:rPr>
      <w:color w:val="954F72" w:themeColor="followedHyperlink"/>
      <w:u w:val="single"/>
    </w:rPr>
  </w:style>
  <w:style w:type="paragraph" w:styleId="Sprechblasentext">
    <w:name w:val="Balloon Text"/>
    <w:basedOn w:val="Standard"/>
    <w:link w:val="SprechblasentextZchn"/>
    <w:uiPriority w:val="99"/>
    <w:semiHidden/>
    <w:unhideWhenUsed/>
    <w:rsid w:val="009737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7D9"/>
    <w:rPr>
      <w:rFonts w:ascii="Segoe UI" w:hAnsi="Segoe UI" w:cs="Segoe UI"/>
      <w:sz w:val="18"/>
      <w:szCs w:val="18"/>
    </w:rPr>
  </w:style>
  <w:style w:type="paragraph" w:styleId="Kopfzeile">
    <w:name w:val="header"/>
    <w:basedOn w:val="Standard"/>
    <w:link w:val="KopfzeileZchn"/>
    <w:uiPriority w:val="99"/>
    <w:unhideWhenUsed/>
    <w:rsid w:val="009026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2636"/>
  </w:style>
  <w:style w:type="paragraph" w:styleId="Fuzeile">
    <w:name w:val="footer"/>
    <w:basedOn w:val="Standard"/>
    <w:link w:val="FuzeileZchn"/>
    <w:uiPriority w:val="99"/>
    <w:unhideWhenUsed/>
    <w:rsid w:val="00902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2636"/>
  </w:style>
  <w:style w:type="paragraph" w:styleId="Verzeichnis3">
    <w:name w:val="toc 3"/>
    <w:basedOn w:val="Standard"/>
    <w:next w:val="Standard"/>
    <w:autoRedefine/>
    <w:uiPriority w:val="39"/>
    <w:unhideWhenUsed/>
    <w:rsid w:val="00E13A0E"/>
    <w:pPr>
      <w:spacing w:after="100"/>
      <w:ind w:left="440"/>
    </w:pPr>
    <w:rPr>
      <w:rFonts w:asciiTheme="minorHAnsi" w:eastAsiaTheme="minorEastAsia" w:hAnsiTheme="minorHAnsi"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19303">
      <w:bodyDiv w:val="1"/>
      <w:marLeft w:val="0"/>
      <w:marRight w:val="0"/>
      <w:marTop w:val="0"/>
      <w:marBottom w:val="0"/>
      <w:divBdr>
        <w:top w:val="none" w:sz="0" w:space="0" w:color="auto"/>
        <w:left w:val="none" w:sz="0" w:space="0" w:color="auto"/>
        <w:bottom w:val="none" w:sz="0" w:space="0" w:color="auto"/>
        <w:right w:val="none" w:sz="0" w:space="0" w:color="auto"/>
      </w:divBdr>
    </w:div>
    <w:div w:id="1310749693">
      <w:bodyDiv w:val="1"/>
      <w:marLeft w:val="0"/>
      <w:marRight w:val="0"/>
      <w:marTop w:val="0"/>
      <w:marBottom w:val="0"/>
      <w:divBdr>
        <w:top w:val="none" w:sz="0" w:space="0" w:color="auto"/>
        <w:left w:val="none" w:sz="0" w:space="0" w:color="auto"/>
        <w:bottom w:val="none" w:sz="0" w:space="0" w:color="auto"/>
        <w:right w:val="none" w:sz="0" w:space="0" w:color="auto"/>
      </w:divBdr>
      <w:divsChild>
        <w:div w:id="1713841677">
          <w:marLeft w:val="0"/>
          <w:marRight w:val="0"/>
          <w:marTop w:val="0"/>
          <w:marBottom w:val="0"/>
          <w:divBdr>
            <w:top w:val="none" w:sz="0" w:space="0" w:color="auto"/>
            <w:left w:val="none" w:sz="0" w:space="0" w:color="auto"/>
            <w:bottom w:val="none" w:sz="0" w:space="0" w:color="auto"/>
            <w:right w:val="none" w:sz="0" w:space="0" w:color="auto"/>
          </w:divBdr>
          <w:divsChild>
            <w:div w:id="913974784">
              <w:marLeft w:val="0"/>
              <w:marRight w:val="0"/>
              <w:marTop w:val="0"/>
              <w:marBottom w:val="0"/>
              <w:divBdr>
                <w:top w:val="none" w:sz="0" w:space="0" w:color="auto"/>
                <w:left w:val="none" w:sz="0" w:space="0" w:color="auto"/>
                <w:bottom w:val="none" w:sz="0" w:space="0" w:color="auto"/>
                <w:right w:val="none" w:sz="0" w:space="0" w:color="auto"/>
              </w:divBdr>
              <w:divsChild>
                <w:div w:id="1905725499">
                  <w:marLeft w:val="0"/>
                  <w:marRight w:val="0"/>
                  <w:marTop w:val="0"/>
                  <w:marBottom w:val="0"/>
                  <w:divBdr>
                    <w:top w:val="none" w:sz="0" w:space="0" w:color="auto"/>
                    <w:left w:val="none" w:sz="0" w:space="0" w:color="auto"/>
                    <w:bottom w:val="none" w:sz="0" w:space="0" w:color="auto"/>
                    <w:right w:val="none" w:sz="0" w:space="0" w:color="auto"/>
                  </w:divBdr>
                  <w:divsChild>
                    <w:div w:id="1662847560">
                      <w:marLeft w:val="0"/>
                      <w:marRight w:val="0"/>
                      <w:marTop w:val="0"/>
                      <w:marBottom w:val="0"/>
                      <w:divBdr>
                        <w:top w:val="none" w:sz="0" w:space="0" w:color="auto"/>
                        <w:left w:val="none" w:sz="0" w:space="0" w:color="auto"/>
                        <w:bottom w:val="none" w:sz="0" w:space="0" w:color="auto"/>
                        <w:right w:val="none" w:sz="0" w:space="0" w:color="auto"/>
                      </w:divBdr>
                      <w:divsChild>
                        <w:div w:id="1535071804">
                          <w:marLeft w:val="0"/>
                          <w:marRight w:val="0"/>
                          <w:marTop w:val="0"/>
                          <w:marBottom w:val="0"/>
                          <w:divBdr>
                            <w:top w:val="none" w:sz="0" w:space="0" w:color="auto"/>
                            <w:left w:val="none" w:sz="0" w:space="0" w:color="auto"/>
                            <w:bottom w:val="none" w:sz="0" w:space="0" w:color="auto"/>
                            <w:right w:val="none" w:sz="0" w:space="0" w:color="auto"/>
                          </w:divBdr>
                          <w:divsChild>
                            <w:div w:id="1305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3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5042-EA58-41EC-9385-A61971E9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8469</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Lichtgitter GmbH</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Wessling, Franziska</dc:creator>
  <cp:keywords/>
  <dc:description/>
  <cp:lastModifiedBy>Südfels, Petra</cp:lastModifiedBy>
  <cp:revision>4</cp:revision>
  <cp:lastPrinted>2025-07-23T09:53:00Z</cp:lastPrinted>
  <dcterms:created xsi:type="dcterms:W3CDTF">2025-07-23T09:51:00Z</dcterms:created>
  <dcterms:modified xsi:type="dcterms:W3CDTF">2025-07-23T09:58:00Z</dcterms:modified>
</cp:coreProperties>
</file>